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pacing w:before="0" w:beforeAutospacing="0" w:after="0" w:afterAutospacing="0"/>
        <w:ind w:left="0" w:right="0" w:firstLine="0"/>
      </w:pPr>
    </w:p>
    <w:p>
      <w:pPr>
        <w:pStyle w:val="12"/>
        <w:keepNext w:val="0"/>
        <w:keepLines w:val="0"/>
        <w:widowControl/>
        <w:suppressLineNumbers w:val="0"/>
        <w:spacing w:before="0" w:beforeAutospacing="0" w:after="0" w:afterAutospacing="0"/>
        <w:ind w:left="0" w:right="0" w:firstLine="0"/>
        <w:rPr>
          <w:rFonts w:hint="eastAsia" w:ascii="宋体" w:hAnsi="宋体" w:eastAsia="宋体" w:cs="宋体"/>
          <w:sz w:val="36"/>
          <w:szCs w:val="36"/>
          <w:lang w:val="en-US" w:eastAsia="zh-CN"/>
        </w:rPr>
      </w:pPr>
    </w:p>
    <w:p>
      <w:pPr>
        <w:pStyle w:val="12"/>
        <w:keepNext w:val="0"/>
        <w:keepLines w:val="0"/>
        <w:widowControl/>
        <w:suppressLineNumbers w:val="0"/>
        <w:spacing w:before="0" w:beforeAutospacing="0" w:after="0" w:afterAutospacing="0"/>
        <w:ind w:left="0" w:right="0" w:firstLine="0"/>
        <w:rPr>
          <w:rFonts w:hint="eastAsia" w:ascii="宋体" w:hAnsi="宋体" w:eastAsia="宋体" w:cs="宋体"/>
          <w:sz w:val="36"/>
          <w:szCs w:val="36"/>
          <w:lang w:val="en-US" w:eastAsia="zh-CN"/>
        </w:rPr>
      </w:pPr>
    </w:p>
    <w:p>
      <w:pPr>
        <w:pStyle w:val="12"/>
        <w:keepNext w:val="0"/>
        <w:keepLines w:val="0"/>
        <w:widowControl/>
        <w:suppressLineNumbers w:val="0"/>
        <w:spacing w:before="0" w:beforeAutospacing="0" w:after="0" w:afterAutospacing="0"/>
        <w:ind w:left="0" w:right="0" w:firstLine="0"/>
        <w:rPr>
          <w:rFonts w:hint="eastAsia" w:ascii="宋体" w:hAnsi="宋体" w:eastAsia="宋体" w:cs="宋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莱芜钢铁集团泰东实业有限公司</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48"/>
          <w:szCs w:val="48"/>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48"/>
          <w:szCs w:val="48"/>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2022年度社会责任报告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6"/>
          <w:szCs w:val="36"/>
          <w:lang w:val="en-US"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黑体" w:hAnsi="黑体" w:eastAsia="黑体" w:cs="黑体"/>
          <w:sz w:val="36"/>
          <w:szCs w:val="36"/>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黑体" w:cs="Times New Roman"/>
          <w:sz w:val="36"/>
          <w:szCs w:val="36"/>
          <w:lang w:val="en-US" w:eastAsia="zh-CN"/>
        </w:rPr>
        <w:t>20</w:t>
      </w:r>
      <w:r>
        <w:rPr>
          <w:rFonts w:hint="eastAsia" w:eastAsia="黑体" w:cs="Times New Roman"/>
          <w:sz w:val="36"/>
          <w:szCs w:val="36"/>
          <w:lang w:val="en-US" w:eastAsia="zh-CN"/>
        </w:rPr>
        <w:t>23</w:t>
      </w:r>
      <w:r>
        <w:rPr>
          <w:rFonts w:hint="default" w:ascii="Times New Roman" w:hAnsi="Times New Roman" w:eastAsia="黑体" w:cs="Times New Roman"/>
          <w:sz w:val="36"/>
          <w:szCs w:val="36"/>
          <w:lang w:val="en-US" w:eastAsia="zh-CN"/>
        </w:rPr>
        <w:t>年</w:t>
      </w:r>
      <w:r>
        <w:rPr>
          <w:rFonts w:hint="eastAsia" w:eastAsia="黑体" w:cs="Times New Roman"/>
          <w:sz w:val="36"/>
          <w:szCs w:val="36"/>
          <w:lang w:val="en-US" w:eastAsia="zh-CN"/>
        </w:rPr>
        <w:t>03</w:t>
      </w:r>
      <w:r>
        <w:rPr>
          <w:rFonts w:hint="default" w:ascii="Times New Roman" w:hAnsi="Times New Roman" w:eastAsia="黑体" w:cs="Times New Roman"/>
          <w:sz w:val="36"/>
          <w:szCs w:val="36"/>
          <w:lang w:val="en-US" w:eastAsia="zh-CN"/>
        </w:rPr>
        <w:t>月</w:t>
      </w:r>
      <w:r>
        <w:rPr>
          <w:rFonts w:hint="eastAsia" w:eastAsia="黑体" w:cs="Times New Roman"/>
          <w:sz w:val="36"/>
          <w:szCs w:val="36"/>
          <w:lang w:val="en-US" w:eastAsia="zh-CN"/>
        </w:rPr>
        <w:t>10</w:t>
      </w:r>
      <w:r>
        <w:rPr>
          <w:rFonts w:hint="default" w:ascii="Times New Roman" w:hAnsi="Times New Roman" w:eastAsia="黑体" w:cs="Times New Roman"/>
          <w:sz w:val="36"/>
          <w:szCs w:val="36"/>
          <w:lang w:val="en-US" w:eastAsia="zh-CN"/>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目 录</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黑体" w:eastAsia="黑体" w:cs="黑体"/>
          <w:sz w:val="30"/>
          <w:szCs w:val="30"/>
          <w:lang w:val="en-US" w:eastAsia="zh-CN"/>
        </w:rPr>
      </w:pPr>
    </w:p>
    <w:p>
      <w:pPr>
        <w:pStyle w:val="10"/>
        <w:keepNext w:val="0"/>
        <w:keepLines w:val="0"/>
        <w:pageBreakBefore w:val="0"/>
        <w:widowControl w:val="0"/>
        <w:tabs>
          <w:tab w:val="right" w:leader="dot" w:pos="8306"/>
        </w:tabs>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b/>
          <w:bCs/>
        </w:rPr>
      </w:pPr>
      <w:r>
        <w:rPr>
          <w:rFonts w:hint="eastAsia" w:ascii="黑体" w:hAnsi="黑体" w:eastAsia="黑体" w:cs="黑体"/>
          <w:sz w:val="30"/>
          <w:szCs w:val="30"/>
          <w:lang w:val="en-US" w:eastAsia="zh-CN"/>
        </w:rPr>
        <w:fldChar w:fldCharType="begin"/>
      </w:r>
      <w:r>
        <w:rPr>
          <w:rFonts w:hint="eastAsia" w:ascii="黑体" w:hAnsi="黑体" w:eastAsia="黑体" w:cs="黑体"/>
          <w:sz w:val="30"/>
          <w:szCs w:val="30"/>
          <w:lang w:val="en-US" w:eastAsia="zh-CN"/>
        </w:rPr>
        <w:instrText xml:space="preserve">TOC \o "1-3" \h \u </w:instrText>
      </w:r>
      <w:r>
        <w:rPr>
          <w:rFonts w:hint="eastAsia" w:ascii="黑体" w:hAnsi="黑体" w:eastAsia="黑体" w:cs="黑体"/>
          <w:sz w:val="30"/>
          <w:szCs w:val="30"/>
          <w:lang w:val="en-US" w:eastAsia="zh-CN"/>
        </w:rPr>
        <w:fldChar w:fldCharType="separate"/>
      </w:r>
      <w:r>
        <w:rPr>
          <w:rFonts w:hint="default" w:ascii="Times New Roman" w:hAnsi="Times New Roman" w:eastAsia="仿宋_GB2312" w:cs="Times New Roman"/>
          <w:b/>
          <w:bCs/>
          <w:szCs w:val="30"/>
          <w:lang w:val="en-US" w:eastAsia="zh-CN"/>
        </w:rPr>
        <w:fldChar w:fldCharType="begin"/>
      </w:r>
      <w:r>
        <w:rPr>
          <w:rFonts w:hint="default" w:ascii="Times New Roman" w:hAnsi="Times New Roman" w:eastAsia="仿宋_GB2312" w:cs="Times New Roman"/>
          <w:b/>
          <w:bCs/>
          <w:szCs w:val="30"/>
          <w:lang w:val="en-US" w:eastAsia="zh-CN"/>
        </w:rPr>
        <w:instrText xml:space="preserve"> HYPERLINK \l _Toc4193 </w:instrText>
      </w:r>
      <w:r>
        <w:rPr>
          <w:rFonts w:hint="default" w:ascii="Times New Roman" w:hAnsi="Times New Roman" w:eastAsia="仿宋_GB2312" w:cs="Times New Roman"/>
          <w:b/>
          <w:bCs/>
          <w:szCs w:val="30"/>
          <w:lang w:val="en-US" w:eastAsia="zh-CN"/>
        </w:rPr>
        <w:fldChar w:fldCharType="separate"/>
      </w:r>
      <w:r>
        <w:rPr>
          <w:rFonts w:hint="default" w:ascii="Times New Roman" w:hAnsi="Times New Roman" w:eastAsia="仿宋_GB2312" w:cs="Times New Roman"/>
          <w:b/>
          <w:bCs/>
        </w:rPr>
        <w:t>关于本报告</w:t>
      </w:r>
      <w:r>
        <w:rPr>
          <w:rFonts w:hint="default" w:ascii="Times New Roman" w:hAnsi="Times New Roman" w:eastAsia="仿宋_GB2312" w:cs="Times New Roman"/>
          <w:b/>
          <w:bCs/>
        </w:rPr>
        <w:tab/>
      </w:r>
      <w:r>
        <w:rPr>
          <w:rFonts w:hint="default" w:ascii="Times New Roman" w:hAnsi="Times New Roman" w:eastAsia="仿宋_GB2312" w:cs="Times New Roman"/>
          <w:b/>
          <w:bCs/>
        </w:rPr>
        <w:fldChar w:fldCharType="begin"/>
      </w:r>
      <w:r>
        <w:rPr>
          <w:rFonts w:hint="default" w:ascii="Times New Roman" w:hAnsi="Times New Roman" w:eastAsia="仿宋_GB2312" w:cs="Times New Roman"/>
          <w:b/>
          <w:bCs/>
        </w:rPr>
        <w:instrText xml:space="preserve"> PAGEREF _Toc4193 \h </w:instrText>
      </w:r>
      <w:r>
        <w:rPr>
          <w:rFonts w:hint="default" w:ascii="Times New Roman" w:hAnsi="Times New Roman" w:eastAsia="仿宋_GB2312" w:cs="Times New Roman"/>
          <w:b/>
          <w:bCs/>
        </w:rPr>
        <w:fldChar w:fldCharType="separate"/>
      </w:r>
      <w:r>
        <w:rPr>
          <w:rFonts w:hint="default" w:ascii="Times New Roman" w:hAnsi="Times New Roman" w:eastAsia="仿宋_GB2312" w:cs="Times New Roman"/>
          <w:b/>
          <w:bCs/>
        </w:rPr>
        <w:t>1</w:t>
      </w:r>
      <w:r>
        <w:rPr>
          <w:rFonts w:hint="default" w:ascii="Times New Roman" w:hAnsi="Times New Roman" w:eastAsia="仿宋_GB2312" w:cs="Times New Roman"/>
          <w:b/>
          <w:bCs/>
        </w:rPr>
        <w:fldChar w:fldCharType="end"/>
      </w:r>
      <w:r>
        <w:rPr>
          <w:rFonts w:hint="default" w:ascii="Times New Roman" w:hAnsi="Times New Roman" w:eastAsia="仿宋_GB2312" w:cs="Times New Roman"/>
          <w:b/>
          <w:bCs/>
          <w:szCs w:val="30"/>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rPr>
      </w:pPr>
      <w:r>
        <w:rPr>
          <w:rFonts w:hint="default" w:ascii="Times New Roman" w:hAnsi="Times New Roman" w:eastAsia="仿宋_GB2312" w:cs="Times New Roman"/>
          <w:b/>
          <w:bCs/>
          <w:szCs w:val="30"/>
          <w:lang w:val="en-US" w:eastAsia="zh-CN"/>
        </w:rPr>
        <w:fldChar w:fldCharType="begin"/>
      </w:r>
      <w:r>
        <w:rPr>
          <w:rFonts w:hint="default" w:ascii="Times New Roman" w:hAnsi="Times New Roman" w:eastAsia="仿宋_GB2312" w:cs="Times New Roman"/>
          <w:b/>
          <w:bCs/>
          <w:szCs w:val="30"/>
          <w:lang w:val="en-US" w:eastAsia="zh-CN"/>
        </w:rPr>
        <w:instrText xml:space="preserve"> HYPERLINK \l _Toc23339 </w:instrText>
      </w:r>
      <w:r>
        <w:rPr>
          <w:rFonts w:hint="default" w:ascii="Times New Roman" w:hAnsi="Times New Roman" w:eastAsia="仿宋_GB2312" w:cs="Times New Roman"/>
          <w:b/>
          <w:bCs/>
          <w:szCs w:val="30"/>
          <w:lang w:val="en-US" w:eastAsia="zh-CN"/>
        </w:rPr>
        <w:fldChar w:fldCharType="separate"/>
      </w:r>
      <w:r>
        <w:rPr>
          <w:rFonts w:hint="default" w:ascii="Times New Roman" w:hAnsi="Times New Roman" w:eastAsia="仿宋_GB2312" w:cs="Times New Roman"/>
          <w:b/>
          <w:bCs/>
          <w:lang w:val="en-US" w:eastAsia="zh-CN"/>
        </w:rPr>
        <w:t>一、基本背景信息</w:t>
      </w:r>
      <w:r>
        <w:rPr>
          <w:rFonts w:hint="default" w:ascii="Times New Roman" w:hAnsi="Times New Roman" w:eastAsia="仿宋_GB2312" w:cs="Times New Roman"/>
          <w:b/>
          <w:bCs/>
        </w:rPr>
        <w:tab/>
      </w:r>
      <w:r>
        <w:rPr>
          <w:rFonts w:hint="default" w:ascii="Times New Roman" w:hAnsi="Times New Roman" w:eastAsia="仿宋_GB2312" w:cs="Times New Roman"/>
          <w:b/>
          <w:bCs/>
        </w:rPr>
        <w:fldChar w:fldCharType="begin"/>
      </w:r>
      <w:r>
        <w:rPr>
          <w:rFonts w:hint="default" w:ascii="Times New Roman" w:hAnsi="Times New Roman" w:eastAsia="仿宋_GB2312" w:cs="Times New Roman"/>
          <w:b/>
          <w:bCs/>
        </w:rPr>
        <w:instrText xml:space="preserve"> PAGEREF _Toc23339 \h </w:instrText>
      </w:r>
      <w:r>
        <w:rPr>
          <w:rFonts w:hint="default" w:ascii="Times New Roman" w:hAnsi="Times New Roman" w:eastAsia="仿宋_GB2312" w:cs="Times New Roman"/>
          <w:b/>
          <w:bCs/>
        </w:rPr>
        <w:fldChar w:fldCharType="separate"/>
      </w:r>
      <w:r>
        <w:rPr>
          <w:rFonts w:hint="default" w:ascii="Times New Roman" w:hAnsi="Times New Roman" w:eastAsia="仿宋_GB2312" w:cs="Times New Roman"/>
          <w:b/>
          <w:bCs/>
        </w:rPr>
        <w:t>2</w:t>
      </w:r>
      <w:r>
        <w:rPr>
          <w:rFonts w:hint="default" w:ascii="Times New Roman" w:hAnsi="Times New Roman" w:eastAsia="仿宋_GB2312" w:cs="Times New Roman"/>
          <w:b/>
          <w:bCs/>
        </w:rPr>
        <w:fldChar w:fldCharType="end"/>
      </w:r>
      <w:r>
        <w:rPr>
          <w:rFonts w:hint="default" w:ascii="Times New Roman" w:hAnsi="Times New Roman" w:eastAsia="仿宋_GB2312" w:cs="Times New Roman"/>
          <w:b/>
          <w:bCs/>
          <w:szCs w:val="30"/>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ind w:left="0" w:leftChars="0" w:firstLine="24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_Toc2893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（一）企业概况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_Toc2893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ind w:left="0" w:leftChars="0" w:firstLine="24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_Toc26837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（二）企业核心价值观及发展理念</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_Toc26837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ind w:left="0" w:leftChars="0" w:firstLine="24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_Toc26661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（三）最高管理者社会责任承诺</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_Toc26661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ind w:left="0" w:leftChars="0" w:firstLine="24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_Toc15719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（四）社会责任战略</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_Toc15719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rPr>
      </w:pPr>
      <w:r>
        <w:rPr>
          <w:rFonts w:hint="default" w:ascii="Times New Roman" w:hAnsi="Times New Roman" w:eastAsia="仿宋_GB2312" w:cs="Times New Roman"/>
          <w:b/>
          <w:bCs/>
          <w:szCs w:val="30"/>
          <w:lang w:val="en-US" w:eastAsia="zh-CN"/>
        </w:rPr>
        <w:fldChar w:fldCharType="begin"/>
      </w:r>
      <w:r>
        <w:rPr>
          <w:rFonts w:hint="default" w:ascii="Times New Roman" w:hAnsi="Times New Roman" w:eastAsia="仿宋_GB2312" w:cs="Times New Roman"/>
          <w:b/>
          <w:bCs/>
          <w:szCs w:val="30"/>
          <w:lang w:val="en-US" w:eastAsia="zh-CN"/>
        </w:rPr>
        <w:instrText xml:space="preserve"> HYPERLINK \l _Toc13116 </w:instrText>
      </w:r>
      <w:r>
        <w:rPr>
          <w:rFonts w:hint="default" w:ascii="Times New Roman" w:hAnsi="Times New Roman" w:eastAsia="仿宋_GB2312" w:cs="Times New Roman"/>
          <w:b/>
          <w:bCs/>
          <w:szCs w:val="30"/>
          <w:lang w:val="en-US" w:eastAsia="zh-CN"/>
        </w:rPr>
        <w:fldChar w:fldCharType="separate"/>
      </w:r>
      <w:r>
        <w:rPr>
          <w:rFonts w:hint="default" w:ascii="Times New Roman" w:hAnsi="Times New Roman" w:eastAsia="仿宋_GB2312" w:cs="Times New Roman"/>
          <w:b/>
          <w:bCs/>
          <w:lang w:val="en-US" w:eastAsia="zh-CN"/>
        </w:rPr>
        <w:t>二、社会责任履行情况</w:t>
      </w:r>
      <w:r>
        <w:rPr>
          <w:rFonts w:hint="default" w:ascii="Times New Roman" w:hAnsi="Times New Roman" w:eastAsia="仿宋_GB2312" w:cs="Times New Roman"/>
          <w:b/>
          <w:bCs/>
        </w:rPr>
        <w:tab/>
      </w:r>
      <w:r>
        <w:rPr>
          <w:rFonts w:hint="default" w:ascii="Times New Roman" w:hAnsi="Times New Roman" w:eastAsia="仿宋_GB2312" w:cs="Times New Roman"/>
          <w:b/>
          <w:bCs/>
        </w:rPr>
        <w:fldChar w:fldCharType="begin"/>
      </w:r>
      <w:r>
        <w:rPr>
          <w:rFonts w:hint="default" w:ascii="Times New Roman" w:hAnsi="Times New Roman" w:eastAsia="仿宋_GB2312" w:cs="Times New Roman"/>
          <w:b/>
          <w:bCs/>
        </w:rPr>
        <w:instrText xml:space="preserve"> PAGEREF _Toc13116 \h </w:instrText>
      </w:r>
      <w:r>
        <w:rPr>
          <w:rFonts w:hint="default" w:ascii="Times New Roman" w:hAnsi="Times New Roman" w:eastAsia="仿宋_GB2312" w:cs="Times New Roman"/>
          <w:b/>
          <w:bCs/>
        </w:rPr>
        <w:fldChar w:fldCharType="separate"/>
      </w:r>
      <w:r>
        <w:rPr>
          <w:rFonts w:hint="default" w:ascii="Times New Roman" w:hAnsi="Times New Roman" w:eastAsia="仿宋_GB2312" w:cs="Times New Roman"/>
          <w:b/>
          <w:bCs/>
        </w:rPr>
        <w:t>3</w:t>
      </w:r>
      <w:r>
        <w:rPr>
          <w:rFonts w:hint="default" w:ascii="Times New Roman" w:hAnsi="Times New Roman" w:eastAsia="仿宋_GB2312" w:cs="Times New Roman"/>
          <w:b/>
          <w:bCs/>
        </w:rPr>
        <w:fldChar w:fldCharType="end"/>
      </w:r>
      <w:r>
        <w:rPr>
          <w:rFonts w:hint="default" w:ascii="Times New Roman" w:hAnsi="Times New Roman" w:eastAsia="仿宋_GB2312" w:cs="Times New Roman"/>
          <w:b/>
          <w:bCs/>
          <w:szCs w:val="30"/>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ind w:left="0" w:leftChars="0" w:firstLine="24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_Toc25439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（一）经济责任</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_Toc25439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ind w:left="0" w:leftChars="0" w:firstLine="24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_Toc1728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（二）环境责任</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_Toc1728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_Toc1842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1、实行绿色采购，严格供应商管理</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_Toc1842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_Toc29770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2、开展节能减排，重视环境保护</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_Toc29770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ind w:left="0" w:leftChars="0" w:firstLine="24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_Toc5926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（三）社会责任</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_Toc5926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_Toc4053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1、人权保障</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_Toc4053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_Toc25326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2、劳动合同</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_Toc25326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_Toc20324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3、岗位薪酬</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_Toc20324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_Toc16691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4、安全健康</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_Toc16691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_Toc19681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5、公益慈善</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_Toc19681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Cs w:val="30"/>
          <w:lang w:val="en-US" w:eastAsia="zh-CN"/>
        </w:rPr>
        <w:fldChar w:fldCharType="begin"/>
      </w:r>
      <w:r>
        <w:rPr>
          <w:rFonts w:hint="default" w:ascii="Times New Roman" w:hAnsi="Times New Roman" w:eastAsia="仿宋_GB2312" w:cs="Times New Roman"/>
          <w:szCs w:val="30"/>
          <w:lang w:val="en-US" w:eastAsia="zh-CN"/>
        </w:rPr>
        <w:instrText xml:space="preserve"> HYPERLINK \l _Toc12920 </w:instrText>
      </w:r>
      <w:r>
        <w:rPr>
          <w:rFonts w:hint="default" w:ascii="Times New Roman" w:hAnsi="Times New Roman" w:eastAsia="仿宋_GB2312" w:cs="Times New Roman"/>
          <w:szCs w:val="30"/>
          <w:lang w:val="en-US" w:eastAsia="zh-CN"/>
        </w:rPr>
        <w:fldChar w:fldCharType="separate"/>
      </w:r>
      <w:r>
        <w:rPr>
          <w:rFonts w:hint="default" w:ascii="Times New Roman" w:hAnsi="Times New Roman" w:eastAsia="仿宋_GB2312" w:cs="Times New Roman"/>
          <w:lang w:val="en-US" w:eastAsia="zh-CN"/>
        </w:rPr>
        <w:t>6、供应商、客户和消费者权益保护</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_Toc12920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0"/>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left="0" w:leftChars="0" w:firstLine="0" w:firstLineChars="0"/>
        <w:textAlignment w:val="auto"/>
      </w:pPr>
      <w:r>
        <w:rPr>
          <w:rFonts w:hint="default" w:ascii="Times New Roman" w:hAnsi="Times New Roman" w:eastAsia="仿宋_GB2312" w:cs="Times New Roman"/>
          <w:b/>
          <w:bCs/>
          <w:szCs w:val="30"/>
          <w:lang w:val="en-US" w:eastAsia="zh-CN"/>
        </w:rPr>
        <w:fldChar w:fldCharType="begin"/>
      </w:r>
      <w:r>
        <w:rPr>
          <w:rFonts w:hint="default" w:ascii="Times New Roman" w:hAnsi="Times New Roman" w:eastAsia="仿宋_GB2312" w:cs="Times New Roman"/>
          <w:b/>
          <w:bCs/>
          <w:szCs w:val="30"/>
          <w:lang w:val="en-US" w:eastAsia="zh-CN"/>
        </w:rPr>
        <w:instrText xml:space="preserve"> HYPERLINK \l _Toc9216 </w:instrText>
      </w:r>
      <w:r>
        <w:rPr>
          <w:rFonts w:hint="default" w:ascii="Times New Roman" w:hAnsi="Times New Roman" w:eastAsia="仿宋_GB2312" w:cs="Times New Roman"/>
          <w:b/>
          <w:bCs/>
          <w:szCs w:val="30"/>
          <w:lang w:val="en-US" w:eastAsia="zh-CN"/>
        </w:rPr>
        <w:fldChar w:fldCharType="separate"/>
      </w:r>
      <w:r>
        <w:rPr>
          <w:rFonts w:hint="default" w:ascii="Times New Roman" w:hAnsi="Times New Roman" w:eastAsia="仿宋_GB2312" w:cs="Times New Roman"/>
          <w:b/>
          <w:bCs/>
          <w:lang w:val="en-US" w:eastAsia="zh-CN"/>
        </w:rPr>
        <w:t>三、</w:t>
      </w:r>
      <w:r>
        <w:rPr>
          <w:rFonts w:hint="default" w:ascii="Times New Roman" w:hAnsi="Times New Roman" w:eastAsia="仿宋_GB2312" w:cs="Times New Roman"/>
          <w:b/>
          <w:bCs/>
        </w:rPr>
        <w:t>发展愿景</w:t>
      </w:r>
      <w:r>
        <w:rPr>
          <w:rFonts w:hint="default" w:ascii="Times New Roman" w:hAnsi="Times New Roman" w:eastAsia="仿宋_GB2312" w:cs="Times New Roman"/>
          <w:b/>
          <w:bCs/>
        </w:rPr>
        <w:tab/>
      </w:r>
      <w:r>
        <w:rPr>
          <w:rFonts w:hint="default" w:ascii="Times New Roman" w:hAnsi="Times New Roman" w:eastAsia="仿宋_GB2312" w:cs="Times New Roman"/>
          <w:b/>
          <w:bCs/>
        </w:rPr>
        <w:fldChar w:fldCharType="begin"/>
      </w:r>
      <w:r>
        <w:rPr>
          <w:rFonts w:hint="default" w:ascii="Times New Roman" w:hAnsi="Times New Roman" w:eastAsia="仿宋_GB2312" w:cs="Times New Roman"/>
          <w:b/>
          <w:bCs/>
        </w:rPr>
        <w:instrText xml:space="preserve"> PAGEREF _Toc9216 \h </w:instrText>
      </w:r>
      <w:r>
        <w:rPr>
          <w:rFonts w:hint="default" w:ascii="Times New Roman" w:hAnsi="Times New Roman" w:eastAsia="仿宋_GB2312" w:cs="Times New Roman"/>
          <w:b/>
          <w:bCs/>
        </w:rPr>
        <w:fldChar w:fldCharType="separate"/>
      </w:r>
      <w:r>
        <w:rPr>
          <w:rFonts w:hint="default" w:ascii="Times New Roman" w:hAnsi="Times New Roman" w:eastAsia="仿宋_GB2312" w:cs="Times New Roman"/>
          <w:b/>
          <w:bCs/>
        </w:rPr>
        <w:t>6</w:t>
      </w:r>
      <w:r>
        <w:rPr>
          <w:rFonts w:hint="default" w:ascii="Times New Roman" w:hAnsi="Times New Roman" w:eastAsia="仿宋_GB2312" w:cs="Times New Roman"/>
          <w:b/>
          <w:bCs/>
        </w:rPr>
        <w:fldChar w:fldCharType="end"/>
      </w:r>
      <w:r>
        <w:rPr>
          <w:rFonts w:hint="default" w:ascii="Times New Roman" w:hAnsi="Times New Roman" w:eastAsia="仿宋_GB2312" w:cs="Times New Roman"/>
          <w:b/>
          <w:bCs/>
          <w:szCs w:val="30"/>
          <w:lang w:val="en-US" w:eastAsia="zh-CN"/>
        </w:rPr>
        <w:fldChar w:fldCharType="end"/>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黑体" w:eastAsia="黑体" w:cs="黑体"/>
          <w:sz w:val="30"/>
          <w:szCs w:val="30"/>
          <w:lang w:val="en-US" w:eastAsia="zh-CN"/>
        </w:rPr>
      </w:pPr>
      <w:r>
        <w:rPr>
          <w:rFonts w:hint="eastAsia" w:ascii="黑体" w:hAnsi="黑体" w:eastAsia="黑体" w:cs="黑体"/>
          <w:szCs w:val="30"/>
          <w:lang w:val="en-US" w:eastAsia="zh-CN"/>
        </w:rPr>
        <w:fldChar w:fldCharType="end"/>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黑体" w:eastAsia="黑体" w:cs="黑体"/>
          <w:sz w:val="30"/>
          <w:szCs w:val="30"/>
          <w:lang w:val="en-US" w:eastAsia="zh-CN"/>
        </w:rPr>
        <w:sectPr>
          <w:pgSz w:w="11906" w:h="16838"/>
          <w:pgMar w:top="1440" w:right="1800" w:bottom="1440" w:left="1800" w:header="851" w:footer="992" w:gutter="0"/>
          <w:cols w:space="425" w:num="1"/>
          <w:docGrid w:type="lines" w:linePitch="312" w:charSpace="0"/>
        </w:sectPr>
      </w:pPr>
    </w:p>
    <w:p>
      <w:pPr>
        <w:pStyle w:val="4"/>
        <w:bidi w:val="0"/>
      </w:pPr>
      <w:bookmarkStart w:id="0" w:name="_Toc4193"/>
      <w:bookmarkStart w:id="1" w:name="_Toc3839"/>
      <w:r>
        <w:t>关于本报告</w:t>
      </w:r>
      <w:bookmarkEnd w:id="0"/>
      <w:bookmarkEnd w:id="1"/>
    </w:p>
    <w:p>
      <w:pPr>
        <w:bidi w:val="0"/>
      </w:pPr>
      <w:r>
        <w:t>本报告是</w:t>
      </w:r>
      <w:r>
        <w:rPr>
          <w:rFonts w:hint="eastAsia"/>
          <w:lang w:val="en-US" w:eastAsia="zh-CN"/>
        </w:rPr>
        <w:t>莱芜钢铁集团泰东实业有限</w:t>
      </w:r>
      <w:r>
        <w:t>公司披露了公司在</w:t>
      </w:r>
      <w:r>
        <w:rPr>
          <w:rFonts w:hint="eastAsia"/>
          <w:lang w:val="en-US" w:eastAsia="zh-CN"/>
        </w:rPr>
        <w:t>经济</w:t>
      </w:r>
      <w:r>
        <w:t>可持续发展、</w:t>
      </w:r>
      <w:r>
        <w:rPr>
          <w:rFonts w:hint="eastAsia"/>
          <w:lang w:val="en-US" w:eastAsia="zh-CN"/>
        </w:rPr>
        <w:t>社会可持续发展、以及环境生态可持续发展方面的</w:t>
      </w:r>
      <w:r>
        <w:t>社会责任履行</w:t>
      </w:r>
      <w:r>
        <w:rPr>
          <w:rFonts w:hint="eastAsia"/>
          <w:lang w:val="en-US" w:eastAsia="zh-CN"/>
        </w:rPr>
        <w:t>情况，包括</w:t>
      </w:r>
      <w:r>
        <w:t>政策、管理、行动和绩效。</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b/>
          <w:bCs/>
        </w:rPr>
      </w:pPr>
      <w:r>
        <w:rPr>
          <w:b/>
          <w:bCs/>
        </w:rPr>
        <w:t>时间范围</w:t>
      </w:r>
    </w:p>
    <w:p>
      <w:pPr>
        <w:bidi w:val="0"/>
      </w:pPr>
      <w:r>
        <w:t>20</w:t>
      </w:r>
      <w:r>
        <w:rPr>
          <w:rFonts w:hint="eastAsia"/>
          <w:lang w:val="en-US" w:eastAsia="zh-CN"/>
        </w:rPr>
        <w:t>22</w:t>
      </w:r>
      <w:r>
        <w:t>年1月1日～20</w:t>
      </w:r>
      <w:r>
        <w:rPr>
          <w:rFonts w:hint="eastAsia"/>
          <w:lang w:val="en-US" w:eastAsia="zh-CN"/>
        </w:rPr>
        <w:t>22</w:t>
      </w:r>
      <w:r>
        <w:t>年12月31日，部分表述及数据涉及以往年份以增强可比性。</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b/>
          <w:bCs/>
        </w:rPr>
        <w:t>发布周期</w:t>
      </w:r>
    </w:p>
    <w:p>
      <w:pPr>
        <w:bidi w:val="0"/>
        <w:rPr>
          <w:rFonts w:hint="eastAsia" w:eastAsia="宋体"/>
          <w:lang w:val="en-US" w:eastAsia="zh-CN"/>
        </w:rPr>
      </w:pPr>
      <w:r>
        <w:t>本报告为年度报告</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b/>
          <w:bCs/>
        </w:rPr>
        <w:t>报告范围</w:t>
      </w:r>
    </w:p>
    <w:p>
      <w:pPr>
        <w:bidi w:val="0"/>
        <w:rPr>
          <w:rFonts w:hint="eastAsia" w:eastAsia="宋体"/>
          <w:lang w:eastAsia="zh-CN"/>
        </w:rPr>
      </w:pPr>
      <w:r>
        <w:t>报告内容覆盖</w:t>
      </w:r>
      <w:r>
        <w:rPr>
          <w:rFonts w:hint="eastAsia"/>
          <w:lang w:val="en-US" w:eastAsia="zh-CN"/>
        </w:rPr>
        <w:t>莱芜钢铁集团泰东实业有限</w:t>
      </w:r>
      <w:r>
        <w:t>公司</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b/>
          <w:bCs/>
        </w:rPr>
        <w:t>称谓说明</w:t>
      </w:r>
    </w:p>
    <w:p>
      <w:pPr>
        <w:bidi w:val="0"/>
      </w:pPr>
      <w:r>
        <w:rPr>
          <w:rFonts w:hint="eastAsia"/>
          <w:lang w:eastAsia="zh-CN"/>
        </w:rPr>
        <w:t>“</w:t>
      </w:r>
      <w:r>
        <w:rPr>
          <w:rFonts w:hint="eastAsia"/>
          <w:lang w:val="en-US" w:eastAsia="zh-CN"/>
        </w:rPr>
        <w:t>莱芜钢铁集团泰东实业有限</w:t>
      </w:r>
      <w:r>
        <w:t>公司</w:t>
      </w:r>
      <w:r>
        <w:rPr>
          <w:rFonts w:hint="eastAsia"/>
          <w:lang w:eastAsia="zh-CN"/>
        </w:rPr>
        <w:t>”</w:t>
      </w:r>
      <w:r>
        <w:t>在报告中简称为</w:t>
      </w:r>
      <w:r>
        <w:rPr>
          <w:rFonts w:hint="eastAsia"/>
          <w:lang w:eastAsia="zh-CN"/>
        </w:rPr>
        <w:t>“</w:t>
      </w:r>
      <w:r>
        <w:rPr>
          <w:rFonts w:hint="eastAsia"/>
          <w:lang w:val="en-US" w:eastAsia="zh-CN"/>
        </w:rPr>
        <w:t>泰东</w:t>
      </w:r>
      <w:r>
        <w:rPr>
          <w:rFonts w:hint="eastAsia"/>
          <w:lang w:eastAsia="zh-CN"/>
        </w:rPr>
        <w:t>”、“</w:t>
      </w:r>
      <w:r>
        <w:t>公司</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rPr>
          <w:b/>
          <w:bCs/>
        </w:rPr>
      </w:pPr>
      <w:r>
        <w:rPr>
          <w:b/>
          <w:bCs/>
        </w:rPr>
        <w:t>数据来源</w:t>
      </w:r>
    </w:p>
    <w:p>
      <w:pPr>
        <w:bidi w:val="0"/>
        <w:rPr>
          <w:rFonts w:hint="eastAsia" w:eastAsia="宋体"/>
          <w:lang w:eastAsia="zh-CN"/>
        </w:rPr>
      </w:pPr>
      <w:r>
        <w:t>报告使用数据来自公司正式文件和统计报告</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b/>
          <w:bCs/>
          <w:lang w:val="en-US" w:eastAsia="zh-CN"/>
        </w:rPr>
      </w:pPr>
      <w:r>
        <w:rPr>
          <w:rFonts w:hint="eastAsia"/>
          <w:b/>
          <w:bCs/>
          <w:lang w:val="en-US" w:eastAsia="zh-CN"/>
        </w:rPr>
        <w:t>报告获取</w:t>
      </w:r>
    </w:p>
    <w:p>
      <w:pPr>
        <w:bidi w:val="0"/>
        <w:rPr>
          <w:rFonts w:hint="eastAsia"/>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lang w:val="en-US" w:eastAsia="zh-CN"/>
        </w:rPr>
        <w:t>本报告为中文版，您可以在泰东公司网站（http://www.lgtdsy.com/）下载本报告的电子文档。</w:t>
      </w:r>
    </w:p>
    <w:p>
      <w:pPr>
        <w:pStyle w:val="4"/>
        <w:bidi w:val="0"/>
        <w:rPr>
          <w:rFonts w:hint="default"/>
          <w:lang w:val="en-US" w:eastAsia="zh-CN"/>
        </w:rPr>
      </w:pPr>
      <w:bookmarkStart w:id="2" w:name="_Toc23339"/>
      <w:bookmarkStart w:id="3" w:name="_Toc4921"/>
      <w:r>
        <w:rPr>
          <w:rFonts w:hint="eastAsia"/>
          <w:lang w:val="en-US" w:eastAsia="zh-CN"/>
        </w:rPr>
        <w:t>一、基本背景信息</w:t>
      </w:r>
      <w:bookmarkEnd w:id="2"/>
      <w:bookmarkEnd w:id="3"/>
    </w:p>
    <w:p>
      <w:pPr>
        <w:pStyle w:val="5"/>
        <w:bidi w:val="0"/>
        <w:rPr>
          <w:rFonts w:hint="eastAsia"/>
          <w:lang w:val="en-US" w:eastAsia="zh-CN"/>
        </w:rPr>
      </w:pPr>
      <w:bookmarkStart w:id="4" w:name="_Toc2893"/>
      <w:bookmarkStart w:id="5" w:name="_Toc21815"/>
      <w:r>
        <w:rPr>
          <w:rFonts w:hint="eastAsia"/>
          <w:lang w:val="en-US" w:eastAsia="zh-CN"/>
        </w:rPr>
        <w:t>（一）企业概况</w:t>
      </w:r>
      <w:bookmarkEnd w:id="4"/>
      <w:bookmarkEnd w:id="5"/>
    </w:p>
    <w:p>
      <w:pPr>
        <w:bidi w:val="0"/>
        <w:rPr>
          <w:rFonts w:hint="default"/>
          <w:lang w:val="en-US" w:eastAsia="zh-CN"/>
        </w:rPr>
      </w:pPr>
      <w:r>
        <w:rPr>
          <w:rFonts w:hint="eastAsia"/>
          <w:lang w:val="en-US" w:eastAsia="zh-CN"/>
        </w:rPr>
        <w:t>莱芜钢铁集团泰东实业有限公司是莱钢集团的子公司，注册资金6000万元。2022年末资产总额14.17亿元，从业人员2400余人，年营业收入16亿元。公司按照“一体两翼”发展格局和“一业为主、多元支撑”发展战略，形成了钢城和日照地区两大产业板块，公司主要产业：钢铁工业固废综合处理利用、钢材及深加工、耐火材料、冶炼辅料、煤化工、废钢加工及配送、建筑安装维修工程以及围绕钢铁产业的各类协力服务。产业布局莱钢本部和山钢日照钢铁精品基地，年钢渣处理能力300万吨（其中莱钢160万吨）、除尘灰（泥）处理能力70万吨（其中莱钢55万吨），具备对山钢区域内所有钢铁工业固废100%加工处理、100%循环利用的能力，是目前山东省最大的钢铁工业固废综合利用企业。</w:t>
      </w:r>
    </w:p>
    <w:p>
      <w:pPr>
        <w:pStyle w:val="5"/>
        <w:bidi w:val="0"/>
        <w:rPr>
          <w:rFonts w:hint="eastAsia"/>
          <w:lang w:val="en-US" w:eastAsia="zh-CN"/>
        </w:rPr>
      </w:pPr>
      <w:bookmarkStart w:id="6" w:name="_Toc19306"/>
      <w:bookmarkStart w:id="7" w:name="_Toc26837"/>
      <w:r>
        <w:rPr>
          <w:rFonts w:hint="eastAsia"/>
          <w:lang w:val="en-US" w:eastAsia="zh-CN"/>
        </w:rPr>
        <w:t>（二）企业核心价值观及发展理念</w:t>
      </w:r>
      <w:bookmarkEnd w:id="6"/>
      <w:bookmarkEnd w:id="7"/>
    </w:p>
    <w:p>
      <w:pPr>
        <w:bidi w:val="0"/>
        <w:rPr>
          <w:rFonts w:hint="default"/>
          <w:lang w:val="en-US" w:eastAsia="zh-CN"/>
        </w:rPr>
      </w:pPr>
      <w:r>
        <w:rPr>
          <w:rFonts w:hint="default"/>
          <w:lang w:val="en-US" w:eastAsia="zh-CN"/>
        </w:rPr>
        <w:t>作为一家快速发展的企业，公司坚持公平公正、诚实信用的原则，遵守社会公德、商业道德、国家法律法规，在追求经济效益的同时，积极保护职工的合法权益，诚信对待客户、供应商、消费者，倡导</w:t>
      </w:r>
      <w:r>
        <w:rPr>
          <w:rFonts w:hint="eastAsia"/>
          <w:lang w:val="en-US" w:eastAsia="zh-CN"/>
        </w:rPr>
        <w:t>绿色采购、节能降耗、</w:t>
      </w:r>
      <w:r>
        <w:rPr>
          <w:rFonts w:hint="default"/>
          <w:lang w:val="en-US" w:eastAsia="zh-CN"/>
        </w:rPr>
        <w:t>环境保护和可持续发展，为公共关系、社会公益事业、和谐社会建设做出应有贡献。</w:t>
      </w:r>
    </w:p>
    <w:p>
      <w:pPr>
        <w:pStyle w:val="5"/>
        <w:bidi w:val="0"/>
        <w:rPr>
          <w:rFonts w:hint="eastAsia"/>
          <w:lang w:val="en-US" w:eastAsia="zh-CN"/>
        </w:rPr>
      </w:pPr>
      <w:bookmarkStart w:id="8" w:name="_Toc26661"/>
      <w:bookmarkStart w:id="9" w:name="_Toc31680"/>
      <w:r>
        <w:rPr>
          <w:rFonts w:hint="eastAsia"/>
          <w:lang w:val="en-US" w:eastAsia="zh-CN"/>
        </w:rPr>
        <w:t>（三）最高管理者社会责任承诺</w:t>
      </w:r>
      <w:bookmarkEnd w:id="8"/>
      <w:bookmarkEnd w:id="9"/>
    </w:p>
    <w:p>
      <w:pPr>
        <w:bidi w:val="0"/>
        <w:rPr>
          <w:rFonts w:hint="eastAsia"/>
          <w:lang w:eastAsia="zh-CN"/>
        </w:rPr>
      </w:pPr>
      <w:r>
        <w:rPr>
          <w:rFonts w:hint="eastAsia"/>
          <w:lang w:val="en-US" w:eastAsia="zh-CN"/>
        </w:rPr>
        <w:t>公司</w:t>
      </w:r>
      <w:r>
        <w:t>最高管理者</w:t>
      </w:r>
      <w:r>
        <w:rPr>
          <w:rFonts w:hint="eastAsia"/>
          <w:lang w:val="en-US" w:eastAsia="zh-CN"/>
        </w:rPr>
        <w:t>郑重</w:t>
      </w:r>
      <w:r>
        <w:t>承诺</w:t>
      </w:r>
      <w:r>
        <w:rPr>
          <w:rFonts w:hint="eastAsia"/>
          <w:lang w:eastAsia="zh-CN"/>
        </w:rPr>
        <w:t>：</w:t>
      </w:r>
    </w:p>
    <w:p>
      <w:pPr>
        <w:bidi w:val="0"/>
      </w:pPr>
      <w:r>
        <w:rPr>
          <w:rFonts w:hint="eastAsia"/>
          <w:lang w:val="en-US" w:eastAsia="zh-CN"/>
        </w:rPr>
        <w:t>1、</w:t>
      </w:r>
      <w:r>
        <w:t>将社会责任全面融入</w:t>
      </w:r>
      <w:r>
        <w:rPr>
          <w:rFonts w:hint="eastAsia"/>
          <w:lang w:val="en-US" w:eastAsia="zh-CN"/>
        </w:rPr>
        <w:t>公司</w:t>
      </w:r>
      <w:r>
        <w:t>所有决策和</w:t>
      </w:r>
      <w:r>
        <w:rPr>
          <w:rFonts w:hint="eastAsia"/>
          <w:lang w:val="en-US" w:eastAsia="zh-CN"/>
        </w:rPr>
        <w:t>生产经营</w:t>
      </w:r>
      <w:r>
        <w:t>活动之中；</w:t>
      </w:r>
    </w:p>
    <w:p>
      <w:pPr>
        <w:bidi w:val="0"/>
      </w:pPr>
      <w:r>
        <w:rPr>
          <w:rFonts w:hint="eastAsia"/>
          <w:lang w:val="en-US" w:eastAsia="zh-CN"/>
        </w:rPr>
        <w:t>2、</w:t>
      </w:r>
      <w:r>
        <w:t>在遵守法律法规的基础上，致力于符合更高的社会和环境道德准则要求；</w:t>
      </w:r>
    </w:p>
    <w:p>
      <w:pPr>
        <w:bidi w:val="0"/>
      </w:pPr>
      <w:r>
        <w:rPr>
          <w:rFonts w:hint="eastAsia"/>
          <w:lang w:val="en-US" w:eastAsia="zh-CN"/>
        </w:rPr>
        <w:t>3、</w:t>
      </w:r>
      <w:r>
        <w:t>为</w:t>
      </w:r>
      <w:r>
        <w:rPr>
          <w:rFonts w:hint="eastAsia"/>
          <w:lang w:val="en-US" w:eastAsia="zh-CN"/>
        </w:rPr>
        <w:t>公司</w:t>
      </w:r>
      <w:r>
        <w:t>社会责任活动提供所需的资源保障</w:t>
      </w:r>
      <w:r>
        <w:rPr>
          <w:rFonts w:hint="eastAsia"/>
          <w:lang w:eastAsia="zh-CN"/>
        </w:rPr>
        <w:t>，</w:t>
      </w:r>
      <w:r>
        <w:t>包括人力、物力、财力等各种资源。</w:t>
      </w:r>
    </w:p>
    <w:p>
      <w:pPr>
        <w:pStyle w:val="5"/>
        <w:bidi w:val="0"/>
        <w:rPr>
          <w:rFonts w:hint="eastAsia"/>
          <w:lang w:val="en-US" w:eastAsia="zh-CN"/>
        </w:rPr>
      </w:pPr>
      <w:bookmarkStart w:id="10" w:name="_Toc7072"/>
      <w:bookmarkStart w:id="11" w:name="_Toc15719"/>
      <w:r>
        <w:rPr>
          <w:rFonts w:hint="eastAsia"/>
          <w:lang w:val="en-US" w:eastAsia="zh-CN"/>
        </w:rPr>
        <w:t>（四）社会责任战略</w:t>
      </w:r>
      <w:bookmarkEnd w:id="10"/>
      <w:bookmarkEnd w:id="11"/>
    </w:p>
    <w:p>
      <w:pPr>
        <w:bidi w:val="0"/>
        <w:jc w:val="left"/>
        <w:rPr>
          <w:rFonts w:hint="default"/>
          <w:lang w:val="en-US" w:eastAsia="zh-CN"/>
        </w:rPr>
      </w:pPr>
      <w:r>
        <w:rPr>
          <w:rFonts w:hint="eastAsia"/>
          <w:lang w:val="en-US" w:eastAsia="zh-CN"/>
        </w:rPr>
        <w:t>泰东</w:t>
      </w:r>
      <w:r>
        <w:rPr>
          <w:rFonts w:hint="default"/>
          <w:lang w:val="en-US" w:eastAsia="zh-CN"/>
        </w:rPr>
        <w:t>以产业发展为基础，形成具有</w:t>
      </w:r>
      <w:r>
        <w:rPr>
          <w:rFonts w:hint="eastAsia"/>
          <w:lang w:val="en-US" w:eastAsia="zh-CN"/>
        </w:rPr>
        <w:t>泰东</w:t>
      </w:r>
      <w:r>
        <w:rPr>
          <w:rFonts w:hint="default"/>
          <w:lang w:val="en-US" w:eastAsia="zh-CN"/>
        </w:rPr>
        <w:t>特色的社会责任体系，社会责任与企业文化相融合，塑造有社会责任的企业形象。</w:t>
      </w:r>
    </w:p>
    <w:p>
      <w:pPr>
        <w:bidi w:val="0"/>
        <w:jc w:val="left"/>
        <w:rPr>
          <w:rFonts w:hint="default"/>
          <w:lang w:val="en-US" w:eastAsia="zh-CN"/>
        </w:rPr>
      </w:pPr>
      <w:r>
        <w:rPr>
          <w:rFonts w:hint="default"/>
          <w:lang w:val="en-US" w:eastAsia="zh-CN"/>
        </w:rPr>
        <w:t>1</w:t>
      </w:r>
      <w:r>
        <w:rPr>
          <w:rFonts w:hint="eastAsia"/>
          <w:lang w:val="en-US" w:eastAsia="zh-CN"/>
        </w:rPr>
        <w:t>、</w:t>
      </w:r>
      <w:r>
        <w:rPr>
          <w:rFonts w:hint="default"/>
          <w:lang w:val="en-US" w:eastAsia="zh-CN"/>
        </w:rPr>
        <w:t>致力于企业长远发展，做大做强产业，持续盈利，推动区域经济发展。</w:t>
      </w:r>
    </w:p>
    <w:p>
      <w:pPr>
        <w:bidi w:val="0"/>
        <w:jc w:val="left"/>
        <w:rPr>
          <w:rFonts w:hint="default"/>
          <w:lang w:val="en-US" w:eastAsia="zh-CN"/>
        </w:rPr>
      </w:pPr>
      <w:r>
        <w:rPr>
          <w:rFonts w:hint="default"/>
          <w:lang w:val="en-US" w:eastAsia="zh-CN"/>
        </w:rPr>
        <w:t>2</w:t>
      </w:r>
      <w:r>
        <w:rPr>
          <w:rFonts w:hint="eastAsia"/>
          <w:lang w:val="en-US" w:eastAsia="zh-CN"/>
        </w:rPr>
        <w:t>、</w:t>
      </w:r>
      <w:r>
        <w:rPr>
          <w:rFonts w:hint="default"/>
          <w:lang w:val="en-US" w:eastAsia="zh-CN"/>
        </w:rPr>
        <w:t>大力发展循环经济，通过技术创新促进节能减排，加快转方式调结构步伐，促进经济、社会、环境协调发展。</w:t>
      </w:r>
    </w:p>
    <w:p>
      <w:pPr>
        <w:bidi w:val="0"/>
        <w:jc w:val="left"/>
        <w:rPr>
          <w:rFonts w:hint="default"/>
          <w:lang w:val="en-US" w:eastAsia="zh-CN"/>
        </w:rPr>
      </w:pPr>
      <w:r>
        <w:rPr>
          <w:rFonts w:hint="default"/>
          <w:lang w:val="en-US" w:eastAsia="zh-CN"/>
        </w:rPr>
        <w:t>3</w:t>
      </w:r>
      <w:r>
        <w:rPr>
          <w:rFonts w:hint="eastAsia"/>
          <w:lang w:val="en-US" w:eastAsia="zh-CN"/>
        </w:rPr>
        <w:t>、</w:t>
      </w:r>
      <w:r>
        <w:rPr>
          <w:rFonts w:hint="default"/>
          <w:lang w:val="en-US" w:eastAsia="zh-CN"/>
        </w:rPr>
        <w:t>持续为社会提供安全、健康、营养的食品和优质的服务，推动食品行业标准体系的建立，维护好良好的市场经济秩序。</w:t>
      </w:r>
    </w:p>
    <w:p>
      <w:pPr>
        <w:bidi w:val="0"/>
        <w:jc w:val="left"/>
        <w:rPr>
          <w:rFonts w:hint="default"/>
          <w:lang w:val="en-US" w:eastAsia="zh-CN"/>
        </w:rPr>
      </w:pPr>
      <w:r>
        <w:rPr>
          <w:rFonts w:hint="default"/>
          <w:lang w:val="en-US" w:eastAsia="zh-CN"/>
        </w:rPr>
        <w:t>4</w:t>
      </w:r>
      <w:r>
        <w:rPr>
          <w:rFonts w:hint="eastAsia"/>
          <w:lang w:val="en-US" w:eastAsia="zh-CN"/>
        </w:rPr>
        <w:t>、</w:t>
      </w:r>
      <w:r>
        <w:rPr>
          <w:rFonts w:hint="default"/>
          <w:lang w:val="en-US" w:eastAsia="zh-CN"/>
        </w:rPr>
        <w:t>广纳社会劳动力就业，促进社会和谐，发展惠及社会。</w:t>
      </w:r>
    </w:p>
    <w:p>
      <w:pPr>
        <w:bidi w:val="0"/>
        <w:jc w:val="left"/>
        <w:rPr>
          <w:rFonts w:hint="default"/>
          <w:lang w:val="en-US" w:eastAsia="zh-CN"/>
        </w:rPr>
      </w:pPr>
      <w:r>
        <w:rPr>
          <w:rFonts w:hint="default"/>
          <w:lang w:val="en-US" w:eastAsia="zh-CN"/>
        </w:rPr>
        <w:t>5</w:t>
      </w:r>
      <w:r>
        <w:rPr>
          <w:rFonts w:hint="eastAsia"/>
          <w:lang w:val="en-US" w:eastAsia="zh-CN"/>
        </w:rPr>
        <w:t>、</w:t>
      </w:r>
      <w:r>
        <w:rPr>
          <w:rFonts w:hint="default"/>
          <w:lang w:val="en-US" w:eastAsia="zh-CN"/>
        </w:rPr>
        <w:t>高度重视生产安全，完善制定整套保障员工生产安全的政策和机制，从职业健康安全管理体系、工作环境安全、作业现场管理、突发事件处理等方面全方位关注和保障员工健康安全。</w:t>
      </w:r>
    </w:p>
    <w:p>
      <w:pPr>
        <w:bidi w:val="0"/>
        <w:jc w:val="left"/>
        <w:rPr>
          <w:rFonts w:hint="default"/>
          <w:lang w:val="en-US" w:eastAsia="zh-CN"/>
        </w:rPr>
      </w:pPr>
      <w:r>
        <w:rPr>
          <w:rFonts w:hint="default"/>
          <w:lang w:val="en-US" w:eastAsia="zh-CN"/>
        </w:rPr>
        <w:t>6</w:t>
      </w:r>
      <w:r>
        <w:rPr>
          <w:rFonts w:hint="eastAsia"/>
          <w:lang w:val="en-US" w:eastAsia="zh-CN"/>
        </w:rPr>
        <w:t>、</w:t>
      </w:r>
      <w:r>
        <w:rPr>
          <w:rFonts w:hint="default"/>
          <w:lang w:val="en-US" w:eastAsia="zh-CN"/>
        </w:rPr>
        <w:t>积极参加社会慈善和社会公益活动。</w:t>
      </w:r>
    </w:p>
    <w:p>
      <w:pPr>
        <w:pStyle w:val="4"/>
        <w:bidi w:val="0"/>
        <w:rPr>
          <w:rFonts w:hint="eastAsia"/>
          <w:lang w:val="en-US" w:eastAsia="zh-CN"/>
        </w:rPr>
      </w:pPr>
      <w:bookmarkStart w:id="12" w:name="_Toc13116"/>
      <w:bookmarkStart w:id="13" w:name="_Toc11332"/>
      <w:r>
        <w:rPr>
          <w:rFonts w:hint="eastAsia"/>
          <w:lang w:val="en-US" w:eastAsia="zh-CN"/>
        </w:rPr>
        <w:t>二、社会责任履行情况</w:t>
      </w:r>
      <w:bookmarkEnd w:id="12"/>
      <w:bookmarkEnd w:id="13"/>
    </w:p>
    <w:p>
      <w:pPr>
        <w:pStyle w:val="5"/>
        <w:bidi w:val="0"/>
        <w:rPr>
          <w:rFonts w:hint="eastAsia"/>
          <w:lang w:val="en-US" w:eastAsia="zh-CN"/>
        </w:rPr>
      </w:pPr>
      <w:bookmarkStart w:id="14" w:name="_Toc25439"/>
      <w:bookmarkStart w:id="15" w:name="_Toc24766"/>
      <w:r>
        <w:rPr>
          <w:rFonts w:hint="eastAsia"/>
          <w:lang w:val="en-US" w:eastAsia="zh-CN"/>
        </w:rPr>
        <w:t>（一）经济责任</w:t>
      </w:r>
      <w:bookmarkEnd w:id="14"/>
      <w:bookmarkEnd w:id="15"/>
    </w:p>
    <w:p>
      <w:pPr>
        <w:bidi w:val="0"/>
        <w:rPr>
          <w:rFonts w:hint="default"/>
          <w:lang w:val="en-US" w:eastAsia="zh-CN"/>
        </w:rPr>
      </w:pPr>
      <w:r>
        <w:rPr>
          <w:rFonts w:hint="default"/>
          <w:lang w:val="en-US" w:eastAsia="zh-CN"/>
        </w:rPr>
        <w:t>20</w:t>
      </w:r>
      <w:r>
        <w:rPr>
          <w:rFonts w:hint="eastAsia"/>
          <w:lang w:val="en-US" w:eastAsia="zh-CN"/>
        </w:rPr>
        <w:t>22</w:t>
      </w:r>
      <w:r>
        <w:rPr>
          <w:rFonts w:hint="default"/>
          <w:lang w:val="en-US" w:eastAsia="zh-CN"/>
        </w:rPr>
        <w:t>年，公司围绕</w:t>
      </w:r>
      <w:r>
        <w:rPr>
          <w:rFonts w:hint="eastAsia"/>
          <w:lang w:val="en-US" w:eastAsia="zh-CN"/>
        </w:rPr>
        <w:t>“</w:t>
      </w:r>
      <w:r>
        <w:rPr>
          <w:rFonts w:hint="default"/>
          <w:lang w:val="en-US" w:eastAsia="zh-CN"/>
        </w:rPr>
        <w:t>领先一步</w:t>
      </w:r>
      <w:r>
        <w:rPr>
          <w:rFonts w:hint="eastAsia"/>
          <w:lang w:val="en-US" w:eastAsia="zh-CN"/>
        </w:rPr>
        <w:t>”</w:t>
      </w:r>
      <w:r>
        <w:rPr>
          <w:rFonts w:hint="default"/>
          <w:lang w:val="en-US" w:eastAsia="zh-CN"/>
        </w:rPr>
        <w:t>发展战略，持续推进战略转型升级，重点实施聚焦满足客户需求、应用技术研发、差异化、打造行业标杆</w:t>
      </w:r>
      <w:r>
        <w:rPr>
          <w:rFonts w:hint="eastAsia"/>
          <w:lang w:val="en-US" w:eastAsia="zh-CN"/>
        </w:rPr>
        <w:t>“</w:t>
      </w:r>
      <w:r>
        <w:rPr>
          <w:rFonts w:hint="default"/>
          <w:lang w:val="en-US" w:eastAsia="zh-CN"/>
        </w:rPr>
        <w:t>四个聚焦</w:t>
      </w:r>
      <w:r>
        <w:rPr>
          <w:rFonts w:hint="eastAsia"/>
          <w:lang w:val="en-US" w:eastAsia="zh-CN"/>
        </w:rPr>
        <w:t>”，</w:t>
      </w:r>
      <w:r>
        <w:rPr>
          <w:rFonts w:hint="default"/>
          <w:lang w:val="en-US" w:eastAsia="zh-CN"/>
        </w:rPr>
        <w:t>在</w:t>
      </w:r>
      <w:r>
        <w:rPr>
          <w:rFonts w:hint="eastAsia"/>
          <w:lang w:val="en-US" w:eastAsia="zh-CN"/>
        </w:rPr>
        <w:t>“</w:t>
      </w:r>
      <w:r>
        <w:rPr>
          <w:rFonts w:hint="default"/>
          <w:lang w:val="en-US" w:eastAsia="zh-CN"/>
        </w:rPr>
        <w:t>三大主题</w:t>
      </w:r>
      <w:r>
        <w:rPr>
          <w:rFonts w:hint="eastAsia"/>
          <w:lang w:val="en-US" w:eastAsia="zh-CN"/>
        </w:rPr>
        <w:t>”</w:t>
      </w:r>
      <w:r>
        <w:rPr>
          <w:rFonts w:hint="default"/>
          <w:lang w:val="en-US" w:eastAsia="zh-CN"/>
        </w:rPr>
        <w:t>的深化、提升、创新上狠下功夫，经营工作亮点突出，基础管理更加扎实有效，技术创新取得新的进展，在走向高质量、高效益发展的道路上迈出了坚实步伐</w:t>
      </w:r>
      <w:r>
        <w:rPr>
          <w:rFonts w:hint="eastAsia"/>
          <w:lang w:val="en-US" w:eastAsia="zh-CN"/>
        </w:rPr>
        <w:t>，</w:t>
      </w:r>
      <w:r>
        <w:rPr>
          <w:rFonts w:hint="default"/>
          <w:lang w:val="en-US" w:eastAsia="zh-CN"/>
        </w:rPr>
        <w:t>20</w:t>
      </w:r>
      <w:r>
        <w:rPr>
          <w:rFonts w:hint="eastAsia"/>
          <w:lang w:val="en-US" w:eastAsia="zh-CN"/>
        </w:rPr>
        <w:t>22</w:t>
      </w:r>
      <w:r>
        <w:rPr>
          <w:rFonts w:hint="default"/>
          <w:lang w:val="en-US" w:eastAsia="zh-CN"/>
        </w:rPr>
        <w:t>年全年实现销售收入</w:t>
      </w:r>
      <w:r>
        <w:rPr>
          <w:rFonts w:hint="eastAsia"/>
          <w:lang w:val="en-US" w:eastAsia="zh-CN"/>
        </w:rPr>
        <w:t>16</w:t>
      </w:r>
      <w:r>
        <w:rPr>
          <w:rFonts w:hint="default"/>
          <w:lang w:val="en-US" w:eastAsia="zh-CN"/>
        </w:rPr>
        <w:t>亿元。</w:t>
      </w:r>
    </w:p>
    <w:p>
      <w:pPr>
        <w:pStyle w:val="5"/>
        <w:bidi w:val="0"/>
        <w:rPr>
          <w:rFonts w:hint="eastAsia"/>
          <w:lang w:val="en-US" w:eastAsia="zh-CN"/>
        </w:rPr>
      </w:pPr>
      <w:bookmarkStart w:id="16" w:name="_Toc10899"/>
      <w:bookmarkStart w:id="17" w:name="_Toc1728"/>
      <w:r>
        <w:rPr>
          <w:rFonts w:hint="eastAsia"/>
          <w:lang w:val="en-US" w:eastAsia="zh-CN"/>
        </w:rPr>
        <w:t>（二）环境责任</w:t>
      </w:r>
      <w:bookmarkEnd w:id="16"/>
      <w:bookmarkEnd w:id="17"/>
    </w:p>
    <w:p>
      <w:pPr>
        <w:pStyle w:val="6"/>
        <w:bidi w:val="0"/>
        <w:rPr>
          <w:rFonts w:hint="default"/>
          <w:lang w:val="en-US" w:eastAsia="zh-CN"/>
        </w:rPr>
      </w:pPr>
      <w:bookmarkStart w:id="18" w:name="_Toc1842"/>
      <w:r>
        <w:rPr>
          <w:rFonts w:hint="eastAsia"/>
          <w:lang w:val="en-US" w:eastAsia="zh-CN"/>
        </w:rPr>
        <w:t>1、实行绿色采购，严格供应商管理</w:t>
      </w:r>
      <w:bookmarkEnd w:id="18"/>
    </w:p>
    <w:p>
      <w:pPr>
        <w:bidi w:val="0"/>
        <w:rPr>
          <w:rFonts w:hint="default"/>
          <w:lang w:val="en-US" w:eastAsia="zh-CN"/>
        </w:rPr>
      </w:pPr>
      <w:r>
        <w:rPr>
          <w:rFonts w:hint="eastAsia"/>
          <w:lang w:val="en-US" w:eastAsia="zh-CN"/>
        </w:rPr>
        <w:t>公司持续</w:t>
      </w:r>
      <w:r>
        <w:rPr>
          <w:rFonts w:hint="default"/>
          <w:lang w:val="en-US" w:eastAsia="zh-CN"/>
        </w:rPr>
        <w:t>树立绿色采购理念，不断改进和完善采购标准、制度，将绿色采购贯穿原材料、产品和服务采购的全过程。</w:t>
      </w:r>
    </w:p>
    <w:p>
      <w:pPr>
        <w:bidi w:val="0"/>
        <w:rPr>
          <w:rFonts w:hint="default"/>
          <w:lang w:val="en-US" w:eastAsia="zh-CN"/>
        </w:rPr>
      </w:pPr>
      <w:r>
        <w:rPr>
          <w:rFonts w:hint="default"/>
          <w:lang w:val="en-US" w:eastAsia="zh-CN"/>
        </w:rPr>
        <w:t>从物料环保、污染预防、节能减排等方面对供应商进行绿色伙伴认证、选择和管理，推动供应商持续提高绿色发展水平，共同构建绿色供应链。</w:t>
      </w:r>
      <w:r>
        <w:rPr>
          <w:color w:val="000000"/>
          <w:spacing w:val="0"/>
          <w:w w:val="100"/>
          <w:position w:val="0"/>
        </w:rPr>
        <w:t>根据不同类别物资的供方，采取不同的评价方式，对供方的能力进行评价，评价的内容还包括：遵守国家环境保护相关政策、法规、标准；达到国家或地方污染物排放、污染物总量控制目标及能耗指标要求；供应商有关管理体系和环境绩效；供应商提供的物料生产、物流、储存过程等的符合性；持续稳定提供合格产品的能力。</w:t>
      </w:r>
    </w:p>
    <w:p>
      <w:pPr>
        <w:rPr>
          <w:rFonts w:hint="eastAsia"/>
          <w:lang w:val="en-US" w:eastAsia="zh-CN"/>
        </w:rPr>
      </w:pPr>
      <w:r>
        <w:rPr>
          <w:rFonts w:hint="eastAsia"/>
          <w:lang w:val="en-US" w:eastAsia="zh-CN"/>
        </w:rPr>
        <w:t>2022年，高、中风险供应商审核率为100%，低风险供应商占比为82%。</w:t>
      </w:r>
    </w:p>
    <w:p>
      <w:pPr>
        <w:rPr>
          <w:rFonts w:hint="default" w:eastAsia="仿宋_GB2312"/>
          <w:vertAlign w:val="baseline"/>
          <w:lang w:val="en-US" w:eastAsia="zh-CN"/>
        </w:rPr>
      </w:pPr>
      <w:r>
        <w:rPr>
          <w:rFonts w:hint="eastAsia"/>
          <w:lang w:val="en-US" w:eastAsia="zh-CN"/>
        </w:rPr>
        <w:t>山钢集团莱芜分公司为公司重点供应商，2022年，该公司</w:t>
      </w:r>
      <w:r>
        <w:rPr>
          <w:color w:val="000000"/>
          <w:spacing w:val="0"/>
          <w:w w:val="100"/>
          <w:position w:val="0"/>
        </w:rPr>
        <w:t>污染物</w:t>
      </w:r>
      <w:r>
        <w:rPr>
          <w:rFonts w:hint="eastAsia"/>
          <w:color w:val="000000"/>
          <w:spacing w:val="0"/>
          <w:w w:val="100"/>
          <w:position w:val="0"/>
          <w:lang w:val="en-US" w:eastAsia="zh-CN"/>
        </w:rPr>
        <w:t>排放达到标准排放限值要求，其中颗粒物排放量0.21千克/吨钢</w:t>
      </w:r>
      <w:r>
        <w:rPr>
          <w:rFonts w:hint="eastAsia"/>
          <w:color w:val="000000"/>
          <w:spacing w:val="0"/>
          <w:w w:val="100"/>
          <w:position w:val="0"/>
          <w:vertAlign w:val="baseline"/>
          <w:lang w:val="en-US" w:eastAsia="zh-CN"/>
        </w:rPr>
        <w:t>，二氧化硫排放量0.09</w:t>
      </w:r>
      <w:r>
        <w:rPr>
          <w:rFonts w:hint="eastAsia"/>
          <w:color w:val="000000"/>
          <w:spacing w:val="0"/>
          <w:w w:val="100"/>
          <w:position w:val="0"/>
          <w:lang w:val="en-US" w:eastAsia="zh-CN"/>
        </w:rPr>
        <w:t>千克/吨钢</w:t>
      </w:r>
      <w:r>
        <w:rPr>
          <w:rFonts w:hint="eastAsia"/>
          <w:color w:val="000000"/>
          <w:spacing w:val="0"/>
          <w:w w:val="100"/>
          <w:position w:val="0"/>
          <w:vertAlign w:val="baseline"/>
          <w:lang w:val="en-US" w:eastAsia="zh-CN"/>
        </w:rPr>
        <w:t>，氮氧化物</w:t>
      </w:r>
      <w:r>
        <w:rPr>
          <w:rFonts w:hint="eastAsia"/>
          <w:color w:val="000000"/>
          <w:spacing w:val="0"/>
          <w:w w:val="100"/>
          <w:position w:val="0"/>
          <w:lang w:val="en-US" w:eastAsia="zh-CN"/>
        </w:rPr>
        <w:t>排放量0.21千克/吨钢，均达到了清洁生产一级标准</w:t>
      </w:r>
      <w:r>
        <w:rPr>
          <w:rFonts w:hint="eastAsia" w:cs="Times New Roman"/>
          <w:color w:val="000000"/>
          <w:spacing w:val="0"/>
          <w:w w:val="100"/>
          <w:position w:val="0"/>
          <w:vertAlign w:val="baseline"/>
          <w:lang w:val="en-US" w:eastAsia="zh-CN"/>
        </w:rPr>
        <w:t>；建有</w:t>
      </w:r>
      <w:r>
        <w:rPr>
          <w:rFonts w:hint="default" w:ascii="Times New Roman" w:hAnsi="Times New Roman" w:cs="Times New Roman"/>
          <w:color w:val="000000"/>
          <w:spacing w:val="0"/>
          <w:w w:val="100"/>
          <w:position w:val="0"/>
          <w:vertAlign w:val="baseline"/>
          <w:lang w:val="en-US" w:eastAsia="zh-CN"/>
        </w:rPr>
        <w:t>综合污水处理厂1套，处理后废水稳定达标排放，各产线水处理系统运行稳定。</w:t>
      </w:r>
      <w:r>
        <w:rPr>
          <w:rFonts w:hint="default" w:ascii="Times New Roman" w:hAnsi="Times New Roman" w:eastAsia="仿宋_GB2312" w:cs="Times New Roman"/>
          <w:kern w:val="0"/>
          <w:sz w:val="24"/>
          <w:szCs w:val="24"/>
        </w:rPr>
        <w:t>。</w:t>
      </w:r>
    </w:p>
    <w:p>
      <w:pPr>
        <w:pStyle w:val="6"/>
        <w:bidi w:val="0"/>
        <w:rPr>
          <w:rFonts w:hint="default"/>
          <w:lang w:val="en-US" w:eastAsia="zh-CN"/>
        </w:rPr>
      </w:pPr>
      <w:bookmarkStart w:id="19" w:name="_Toc29770"/>
      <w:r>
        <w:rPr>
          <w:rFonts w:hint="eastAsia"/>
          <w:lang w:val="en-US" w:eastAsia="zh-CN"/>
        </w:rPr>
        <w:t>2、开展</w:t>
      </w:r>
      <w:r>
        <w:rPr>
          <w:rFonts w:hint="default"/>
          <w:lang w:val="en-US" w:eastAsia="zh-CN"/>
        </w:rPr>
        <w:t>节能减排</w:t>
      </w:r>
      <w:r>
        <w:rPr>
          <w:rFonts w:hint="eastAsia"/>
          <w:lang w:val="en-US" w:eastAsia="zh-CN"/>
        </w:rPr>
        <w:t>，重视环境保护</w:t>
      </w:r>
      <w:bookmarkEnd w:id="19"/>
    </w:p>
    <w:p>
      <w:pPr>
        <w:rPr>
          <w:rFonts w:hint="default"/>
          <w:lang w:val="en-US" w:eastAsia="zh-CN"/>
        </w:rPr>
      </w:pPr>
      <w:r>
        <w:rPr>
          <w:rFonts w:hint="default"/>
          <w:lang w:val="en-US" w:eastAsia="zh-CN"/>
        </w:rPr>
        <w:t>公司采用国际尖端工艺和核心关键设备，整体工艺和装备位居国际领先水平；建立了完善的设备管理制度，实现了设备定值管理；引入了生命周期思想，优先选用绿色工艺、绿色技术和设备，满足基础设施、管理体系、能源与资源投入、产品、环境排放、绩效的综合评价要求。</w:t>
      </w:r>
    </w:p>
    <w:p>
      <w:pPr>
        <w:ind w:left="0" w:leftChars="0" w:firstLine="480" w:firstLineChars="200"/>
        <w:rPr>
          <w:rFonts w:hint="default"/>
          <w:lang w:val="en-US" w:eastAsia="zh-CN"/>
        </w:rPr>
      </w:pPr>
      <w:r>
        <w:rPr>
          <w:rFonts w:hint="eastAsia"/>
          <w:lang w:val="en-US" w:eastAsia="zh-CN"/>
        </w:rPr>
        <w:t>2022年</w:t>
      </w:r>
      <w:r>
        <w:rPr>
          <w:rFonts w:hint="default"/>
          <w:lang w:val="en-US" w:eastAsia="zh-CN"/>
        </w:rPr>
        <w:t>通过开展多项绿色技术研发和现有设备改造，来保证绿色生产和能源低碳化</w:t>
      </w:r>
      <w:r>
        <w:rPr>
          <w:rFonts w:hint="default"/>
          <w:highlight w:val="none"/>
          <w:lang w:val="en-US" w:eastAsia="zh-CN"/>
        </w:rPr>
        <w:t>。</w:t>
      </w:r>
      <w:r>
        <w:rPr>
          <w:rFonts w:hint="eastAsia"/>
          <w:highlight w:val="none"/>
          <w:lang w:val="en-US" w:eastAsia="zh-CN"/>
        </w:rPr>
        <w:t>30万吨钢渣超细粉项目建设完成并顺利投产，选用天津水泥院立磨机进行预粉磨，解决了传统立磨机内铁富集的问题，实现了钢渣尾渣的深加工和资源化利用</w:t>
      </w:r>
      <w:r>
        <w:rPr>
          <w:rFonts w:hint="default"/>
          <w:highlight w:val="none"/>
          <w:lang w:val="en-US" w:eastAsia="zh-CN"/>
        </w:rPr>
        <w:t>；开展</w:t>
      </w:r>
      <w:r>
        <w:rPr>
          <w:rFonts w:hint="eastAsia"/>
          <w:highlight w:val="none"/>
          <w:lang w:val="en-US" w:eastAsia="zh-CN"/>
        </w:rPr>
        <w:t>钢铁冶金辅料压球</w:t>
      </w:r>
      <w:r>
        <w:rPr>
          <w:rFonts w:hint="default"/>
          <w:highlight w:val="none"/>
          <w:lang w:val="en-US" w:eastAsia="zh-CN"/>
        </w:rPr>
        <w:t>项目，</w:t>
      </w:r>
      <w:r>
        <w:rPr>
          <w:rFonts w:hint="default"/>
          <w:lang w:val="en-US" w:eastAsia="zh-CN"/>
        </w:rPr>
        <w:t>综合原辅料供应、工艺操作条件、三废情况及收率等各种因素，选用先进</w:t>
      </w:r>
      <w:r>
        <w:rPr>
          <w:rFonts w:hint="eastAsia"/>
          <w:lang w:val="en-US" w:eastAsia="zh-CN"/>
        </w:rPr>
        <w:t>、</w:t>
      </w:r>
      <w:r>
        <w:rPr>
          <w:rFonts w:hint="default"/>
          <w:lang w:val="en-US" w:eastAsia="zh-CN"/>
        </w:rPr>
        <w:t>高效</w:t>
      </w:r>
      <w:r>
        <w:rPr>
          <w:rFonts w:hint="eastAsia"/>
          <w:lang w:val="en-US" w:eastAsia="zh-CN"/>
        </w:rPr>
        <w:t>的</w:t>
      </w:r>
      <w:r>
        <w:rPr>
          <w:rFonts w:hint="default"/>
          <w:lang w:val="en-US" w:eastAsia="zh-CN"/>
        </w:rPr>
        <w:t>节能设备，优化厂区及车间布置，</w:t>
      </w:r>
      <w:r>
        <w:rPr>
          <w:rFonts w:hint="eastAsia"/>
          <w:lang w:val="en-US" w:eastAsia="zh-CN"/>
        </w:rPr>
        <w:t>提升经济效益的同时，大大改善了厂区环境</w:t>
      </w:r>
      <w:r>
        <w:rPr>
          <w:rFonts w:hint="default"/>
          <w:lang w:val="en-US" w:eastAsia="zh-CN"/>
        </w:rPr>
        <w:t>；完成多项清洁生产技术改造项目，大大减少了挥发性污染物的排放</w:t>
      </w:r>
      <w:r>
        <w:rPr>
          <w:rFonts w:hint="eastAsia"/>
          <w:lang w:val="en-US" w:eastAsia="zh-CN"/>
        </w:rPr>
        <w:t>，并通过了超低排放验收工作</w:t>
      </w:r>
      <w:r>
        <w:rPr>
          <w:rFonts w:hint="default"/>
          <w:lang w:val="en-US" w:eastAsia="zh-CN"/>
        </w:rPr>
        <w:t>。</w:t>
      </w:r>
    </w:p>
    <w:p>
      <w:pPr>
        <w:ind w:left="0" w:leftChars="0" w:firstLine="480" w:firstLineChars="200"/>
        <w:rPr>
          <w:rFonts w:hint="default" w:eastAsia="仿宋_GB2312"/>
          <w:lang w:val="en-US" w:eastAsia="zh-CN"/>
        </w:rPr>
      </w:pPr>
      <w:r>
        <w:rPr>
          <w:rFonts w:hint="default"/>
          <w:lang w:val="en-US" w:eastAsia="zh-CN"/>
        </w:rPr>
        <w:t>20</w:t>
      </w:r>
      <w:r>
        <w:rPr>
          <w:rFonts w:hint="eastAsia"/>
          <w:lang w:val="en-US" w:eastAsia="zh-CN"/>
        </w:rPr>
        <w:t>22</w:t>
      </w:r>
      <w:r>
        <w:rPr>
          <w:rFonts w:hint="default"/>
          <w:lang w:val="en-US" w:eastAsia="zh-CN"/>
        </w:rPr>
        <w:t>年全年</w:t>
      </w:r>
      <w:r>
        <w:rPr>
          <w:rFonts w:hint="eastAsia"/>
          <w:lang w:val="en-US" w:eastAsia="zh-CN"/>
        </w:rPr>
        <w:t>，</w:t>
      </w:r>
      <w:r>
        <w:rPr>
          <w:rFonts w:hint="default"/>
          <w:lang w:val="en-US" w:eastAsia="zh-CN"/>
        </w:rPr>
        <w:t>公司共计投入资金</w:t>
      </w:r>
      <w:r>
        <w:rPr>
          <w:rFonts w:hint="eastAsia"/>
          <w:lang w:val="en-US" w:eastAsia="zh-CN"/>
        </w:rPr>
        <w:t>2480.15</w:t>
      </w:r>
      <w:r>
        <w:rPr>
          <w:rFonts w:hint="default"/>
          <w:lang w:val="en-US" w:eastAsia="zh-CN"/>
        </w:rPr>
        <w:t>万元用于</w:t>
      </w:r>
      <w:r>
        <w:rPr>
          <w:rFonts w:hint="eastAsia"/>
          <w:lang w:val="en-US" w:eastAsia="zh-CN"/>
        </w:rPr>
        <w:t>节能</w:t>
      </w:r>
      <w:r>
        <w:rPr>
          <w:rFonts w:hint="default"/>
          <w:lang w:val="en-US" w:eastAsia="zh-CN"/>
        </w:rPr>
        <w:t>环保工作</w:t>
      </w:r>
      <w:r>
        <w:rPr>
          <w:rFonts w:hint="eastAsia"/>
          <w:lang w:val="en-US" w:eastAsia="zh-CN"/>
        </w:rPr>
        <w:t>，并取得了良好的节能减排效果，公司单位产品综合能耗为3.24kwh/吨，完成年度目标；公司</w:t>
      </w:r>
      <w:r>
        <w:rPr>
          <w:color w:val="000000"/>
          <w:spacing w:val="0"/>
          <w:w w:val="100"/>
          <w:position w:val="0"/>
        </w:rPr>
        <w:t>污染物</w:t>
      </w:r>
      <w:r>
        <w:rPr>
          <w:rFonts w:hint="eastAsia"/>
          <w:color w:val="000000"/>
          <w:spacing w:val="0"/>
          <w:w w:val="100"/>
          <w:position w:val="0"/>
          <w:lang w:val="en-US" w:eastAsia="zh-CN"/>
        </w:rPr>
        <w:t>排放达到标准排放限值要求，颗粒物排放浓度＜10mg/m</w:t>
      </w:r>
      <w:r>
        <w:rPr>
          <w:rFonts w:hint="eastAsia"/>
          <w:color w:val="000000"/>
          <w:spacing w:val="0"/>
          <w:w w:val="100"/>
          <w:position w:val="0"/>
          <w:vertAlign w:val="superscript"/>
          <w:lang w:val="en-US" w:eastAsia="zh-CN"/>
        </w:rPr>
        <w:t>3</w:t>
      </w:r>
      <w:r>
        <w:rPr>
          <w:rFonts w:hint="eastAsia"/>
          <w:color w:val="000000"/>
          <w:spacing w:val="0"/>
          <w:w w:val="100"/>
          <w:position w:val="0"/>
          <w:lang w:val="en-US" w:eastAsia="zh-CN"/>
        </w:rPr>
        <w:t>，二氧化硫浓度＜50mg/m</w:t>
      </w:r>
      <w:r>
        <w:rPr>
          <w:rFonts w:hint="eastAsia"/>
          <w:color w:val="000000"/>
          <w:spacing w:val="0"/>
          <w:w w:val="100"/>
          <w:position w:val="0"/>
          <w:vertAlign w:val="superscript"/>
          <w:lang w:val="en-US" w:eastAsia="zh-CN"/>
        </w:rPr>
        <w:t>3</w:t>
      </w:r>
      <w:r>
        <w:rPr>
          <w:rFonts w:hint="eastAsia"/>
          <w:color w:val="000000"/>
          <w:spacing w:val="0"/>
          <w:w w:val="100"/>
          <w:position w:val="0"/>
          <w:lang w:val="en-US" w:eastAsia="zh-CN"/>
        </w:rPr>
        <w:t>，氮氧化物浓度＜100mg/m</w:t>
      </w:r>
      <w:r>
        <w:rPr>
          <w:rFonts w:hint="eastAsia"/>
          <w:color w:val="000000"/>
          <w:spacing w:val="0"/>
          <w:w w:val="100"/>
          <w:position w:val="0"/>
          <w:vertAlign w:val="superscript"/>
          <w:lang w:val="en-US" w:eastAsia="zh-CN"/>
        </w:rPr>
        <w:t>3</w:t>
      </w:r>
      <w:r>
        <w:rPr>
          <w:rFonts w:hint="eastAsia" w:cs="Times New Roman"/>
          <w:color w:val="000000"/>
          <w:spacing w:val="0"/>
          <w:w w:val="100"/>
          <w:position w:val="0"/>
          <w:vertAlign w:val="baseline"/>
          <w:lang w:val="en-US" w:eastAsia="zh-CN"/>
        </w:rPr>
        <w:t>；</w:t>
      </w:r>
      <w:r>
        <w:rPr>
          <w:rFonts w:hint="default" w:ascii="Times New Roman" w:hAnsi="Times New Roman" w:cs="Times New Roman"/>
          <w:color w:val="000000"/>
          <w:spacing w:val="0"/>
          <w:w w:val="100"/>
          <w:position w:val="0"/>
          <w:vertAlign w:val="baseline"/>
          <w:lang w:val="en-US" w:eastAsia="zh-CN"/>
        </w:rPr>
        <w:t>公司生产</w:t>
      </w:r>
      <w:bookmarkStart w:id="30" w:name="_GoBack"/>
      <w:bookmarkEnd w:id="30"/>
      <w:r>
        <w:rPr>
          <w:rFonts w:hint="default" w:ascii="Times New Roman" w:hAnsi="Times New Roman" w:cs="Times New Roman"/>
          <w:color w:val="000000"/>
          <w:spacing w:val="0"/>
          <w:w w:val="100"/>
          <w:position w:val="0"/>
          <w:vertAlign w:val="baseline"/>
          <w:lang w:val="en-US" w:eastAsia="zh-CN"/>
        </w:rPr>
        <w:t>设备冷却用水采用循环供水方式，生产用水进行重复利用，</w:t>
      </w:r>
      <w:r>
        <w:rPr>
          <w:rFonts w:hint="eastAsia" w:cs="Times New Roman"/>
          <w:color w:val="000000"/>
          <w:spacing w:val="0"/>
          <w:w w:val="100"/>
          <w:position w:val="0"/>
          <w:vertAlign w:val="baseline"/>
          <w:lang w:val="en-US" w:eastAsia="zh-CN"/>
        </w:rPr>
        <w:t>实现</w:t>
      </w:r>
      <w:r>
        <w:rPr>
          <w:rFonts w:hint="default" w:ascii="Times New Roman" w:hAnsi="Times New Roman" w:cs="Times New Roman"/>
          <w:color w:val="000000"/>
          <w:spacing w:val="0"/>
          <w:w w:val="100"/>
          <w:position w:val="0"/>
          <w:vertAlign w:val="baseline"/>
          <w:lang w:val="en-US" w:eastAsia="zh-CN"/>
        </w:rPr>
        <w:t>废水零排放</w:t>
      </w:r>
      <w:r>
        <w:rPr>
          <w:rFonts w:hint="eastAsia" w:cs="Times New Roman"/>
          <w:color w:val="000000"/>
          <w:spacing w:val="0"/>
          <w:w w:val="100"/>
          <w:position w:val="0"/>
          <w:vertAlign w:val="baseline"/>
          <w:lang w:val="en-US" w:eastAsia="zh-CN"/>
        </w:rPr>
        <w:t>；</w:t>
      </w:r>
      <w:r>
        <w:rPr>
          <w:rFonts w:hint="default" w:ascii="Times New Roman" w:hAnsi="Times New Roman" w:eastAsia="仿宋_GB2312" w:cs="Times New Roman"/>
          <w:kern w:val="0"/>
          <w:sz w:val="24"/>
          <w:szCs w:val="24"/>
        </w:rPr>
        <w:t>固废处置符合国家环保规定，</w:t>
      </w:r>
      <w:r>
        <w:rPr>
          <w:rFonts w:hint="eastAsia" w:cs="Times New Roman"/>
          <w:kern w:val="0"/>
          <w:sz w:val="24"/>
          <w:szCs w:val="24"/>
          <w:lang w:val="en-US" w:eastAsia="zh-CN"/>
        </w:rPr>
        <w:t>危废</w:t>
      </w:r>
      <w:r>
        <w:rPr>
          <w:rFonts w:hint="default" w:ascii="Times New Roman" w:hAnsi="Times New Roman" w:eastAsia="仿宋_GB2312" w:cs="Times New Roman"/>
          <w:kern w:val="0"/>
          <w:sz w:val="24"/>
          <w:szCs w:val="24"/>
        </w:rPr>
        <w:t>类交由有资质处理公司处理</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lang w:val="en-US" w:eastAsia="zh-CN"/>
        </w:rPr>
        <w:t>固体废弃物综合利用</w:t>
      </w:r>
      <w:r>
        <w:rPr>
          <w:rFonts w:hint="default" w:ascii="Times New Roman" w:hAnsi="Times New Roman" w:eastAsia="仿宋_GB2312" w:cs="Times New Roman"/>
          <w:kern w:val="0"/>
          <w:sz w:val="24"/>
          <w:szCs w:val="24"/>
        </w:rPr>
        <w:t>率为100%</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lang w:val="en-US" w:eastAsia="zh-CN"/>
        </w:rPr>
        <w:t>产品</w:t>
      </w:r>
      <w:r>
        <w:rPr>
          <w:rFonts w:hint="eastAsia" w:ascii="仿宋_GB2312" w:hAnsi="仿宋_GB2312" w:eastAsia="仿宋_GB2312" w:cs="仿宋_GB2312"/>
          <w:color w:val="auto"/>
          <w:sz w:val="24"/>
          <w:lang w:val="en-US" w:eastAsia="zh-CN"/>
        </w:rPr>
        <w:t>回收利用率</w:t>
      </w:r>
      <w:r>
        <w:rPr>
          <w:rFonts w:hint="default" w:ascii="Times New Roman" w:hAnsi="Times New Roman" w:cs="Times New Roman"/>
          <w:color w:val="auto"/>
          <w:sz w:val="24"/>
          <w:lang w:val="en-US" w:eastAsia="zh-CN"/>
        </w:rPr>
        <w:t>为100%；</w:t>
      </w:r>
      <w:r>
        <w:rPr>
          <w:rFonts w:hint="eastAsia" w:ascii="Times New Roman" w:hAnsi="Times New Roman" w:cs="Times New Roman"/>
          <w:kern w:val="0"/>
          <w:sz w:val="24"/>
          <w:szCs w:val="24"/>
          <w:lang w:val="en-US" w:eastAsia="zh-CN"/>
        </w:rPr>
        <w:t>未发生安全、环保、质量等方面的违规情况，未受到相关行政处罚。</w:t>
      </w:r>
    </w:p>
    <w:p>
      <w:pPr>
        <w:pStyle w:val="5"/>
        <w:bidi w:val="0"/>
        <w:rPr>
          <w:rFonts w:hint="eastAsia"/>
          <w:lang w:val="en-US" w:eastAsia="zh-CN"/>
        </w:rPr>
      </w:pPr>
      <w:bookmarkStart w:id="20" w:name="_Toc2038"/>
      <w:bookmarkStart w:id="21" w:name="_Toc5926"/>
      <w:r>
        <w:rPr>
          <w:rFonts w:hint="eastAsia"/>
          <w:lang w:val="en-US" w:eastAsia="zh-CN"/>
        </w:rPr>
        <w:t>（三）社会责任</w:t>
      </w:r>
      <w:bookmarkEnd w:id="20"/>
      <w:bookmarkEnd w:id="21"/>
    </w:p>
    <w:p>
      <w:pPr>
        <w:pStyle w:val="6"/>
        <w:bidi w:val="0"/>
        <w:rPr>
          <w:rFonts w:hint="eastAsia"/>
          <w:lang w:val="en-US" w:eastAsia="zh-CN"/>
        </w:rPr>
      </w:pPr>
      <w:bookmarkStart w:id="22" w:name="_Toc4053"/>
      <w:r>
        <w:rPr>
          <w:rFonts w:hint="eastAsia"/>
          <w:lang w:val="en-US" w:eastAsia="zh-CN"/>
        </w:rPr>
        <w:t>1、人权保障</w:t>
      </w:r>
      <w:bookmarkEnd w:id="22"/>
    </w:p>
    <w:p>
      <w:pPr>
        <w:bidi w:val="0"/>
        <w:rPr>
          <w:rFonts w:hint="eastAsia"/>
          <w:lang w:val="en-US" w:eastAsia="zh-CN"/>
        </w:rPr>
      </w:pPr>
      <w:r>
        <w:rPr>
          <w:rFonts w:hint="eastAsia"/>
          <w:lang w:val="en-US" w:eastAsia="zh-CN"/>
        </w:rPr>
        <w:t>公司严格遵守中国和国际组织关于尊重保护人权的相关法律、法规和国际法</w:t>
      </w:r>
    </w:p>
    <w:p>
      <w:pPr>
        <w:bidi w:val="0"/>
        <w:ind w:left="0" w:leftChars="0" w:firstLine="0" w:firstLineChars="0"/>
        <w:rPr>
          <w:rFonts w:hint="eastAsia"/>
          <w:lang w:val="en-US" w:eastAsia="zh-CN"/>
        </w:rPr>
      </w:pPr>
      <w:r>
        <w:rPr>
          <w:rFonts w:hint="eastAsia"/>
          <w:lang w:val="en-US" w:eastAsia="zh-CN"/>
        </w:rPr>
        <w:t>公约，支持、尊重和保护人权。拒绝与使用童工的企业组织开展业务合作。消除</w:t>
      </w:r>
    </w:p>
    <w:p>
      <w:pPr>
        <w:bidi w:val="0"/>
        <w:ind w:left="0" w:leftChars="0" w:firstLine="0" w:firstLineChars="0"/>
        <w:rPr>
          <w:rFonts w:hint="eastAsia"/>
          <w:lang w:val="en-US" w:eastAsia="zh-CN"/>
        </w:rPr>
      </w:pPr>
      <w:r>
        <w:rPr>
          <w:rFonts w:hint="eastAsia"/>
          <w:lang w:val="en-US" w:eastAsia="zh-CN"/>
        </w:rPr>
        <w:t>任何形式的强制或强迫劳动。有效保证组建工会的自由及团体交涉的权利。杜绝</w:t>
      </w:r>
    </w:p>
    <w:p>
      <w:pPr>
        <w:bidi w:val="0"/>
        <w:ind w:left="0" w:leftChars="0" w:firstLine="0" w:firstLineChars="0"/>
        <w:rPr>
          <w:rFonts w:hint="eastAsia"/>
          <w:lang w:val="en-US" w:eastAsia="zh-CN"/>
        </w:rPr>
      </w:pPr>
      <w:r>
        <w:rPr>
          <w:rFonts w:hint="eastAsia"/>
          <w:lang w:val="en-US" w:eastAsia="zh-CN"/>
        </w:rPr>
        <w:t>在用工与职业方面的差别歧视。</w:t>
      </w:r>
    </w:p>
    <w:p>
      <w:pPr>
        <w:pStyle w:val="6"/>
        <w:bidi w:val="0"/>
        <w:rPr>
          <w:rFonts w:hint="eastAsia"/>
          <w:lang w:val="en-US" w:eastAsia="zh-CN"/>
        </w:rPr>
      </w:pPr>
      <w:bookmarkStart w:id="23" w:name="_Toc25326"/>
      <w:r>
        <w:rPr>
          <w:rFonts w:hint="eastAsia"/>
          <w:lang w:val="en-US" w:eastAsia="zh-CN"/>
        </w:rPr>
        <w:t>2、劳动合同</w:t>
      </w:r>
      <w:bookmarkEnd w:id="23"/>
    </w:p>
    <w:p>
      <w:pPr>
        <w:bidi w:val="0"/>
        <w:rPr>
          <w:rFonts w:hint="eastAsia"/>
          <w:lang w:val="en-US" w:eastAsia="zh-CN"/>
        </w:rPr>
      </w:pPr>
      <w:r>
        <w:rPr>
          <w:rFonts w:hint="eastAsia"/>
          <w:lang w:val="en-US" w:eastAsia="zh-CN"/>
        </w:rPr>
        <w:t>公司遵守《劳动法》《劳动合同法》等法律法规，依法保障企业及员工的合法权益，维护和谐、稳定的劳动关系。员工签署劳动合同率达100%。合同的签订为劳资双方构筑了平等合理的劳动条件，有利于员工和企业之间的沟通和理解，维护和发展企业生产经营的良好秩序，促进企业的稳定和发展。发挥劳动争议协调委员会机制，有效预防、调解劳动争议，维护员工合法权益。</w:t>
      </w:r>
    </w:p>
    <w:p>
      <w:pPr>
        <w:pStyle w:val="6"/>
        <w:bidi w:val="0"/>
        <w:rPr>
          <w:rFonts w:hint="eastAsia"/>
          <w:lang w:val="en-US" w:eastAsia="zh-CN"/>
        </w:rPr>
      </w:pPr>
      <w:bookmarkStart w:id="24" w:name="_Toc20324"/>
      <w:r>
        <w:rPr>
          <w:rFonts w:hint="eastAsia"/>
          <w:lang w:val="en-US" w:eastAsia="zh-CN"/>
        </w:rPr>
        <w:t>3、岗位薪酬</w:t>
      </w:r>
      <w:bookmarkEnd w:id="24"/>
    </w:p>
    <w:p>
      <w:pPr>
        <w:bidi w:val="0"/>
        <w:rPr>
          <w:rFonts w:hint="eastAsia"/>
          <w:lang w:val="en-US" w:eastAsia="zh-CN"/>
        </w:rPr>
      </w:pPr>
      <w:r>
        <w:rPr>
          <w:rFonts w:hint="eastAsia"/>
          <w:lang w:val="en-US" w:eastAsia="zh-CN"/>
        </w:rPr>
        <w:t>巩固岗位薪酬体系改革成果，完善符合现代企业管理理念和发展规律、突出</w:t>
      </w:r>
    </w:p>
    <w:p>
      <w:pPr>
        <w:bidi w:val="0"/>
        <w:ind w:left="0" w:leftChars="0" w:firstLine="0" w:firstLineChars="0"/>
        <w:rPr>
          <w:rFonts w:hint="eastAsia"/>
          <w:lang w:val="en-US" w:eastAsia="zh-CN"/>
        </w:rPr>
      </w:pPr>
      <w:r>
        <w:rPr>
          <w:rFonts w:hint="eastAsia"/>
          <w:lang w:val="en-US" w:eastAsia="zh-CN"/>
        </w:rPr>
        <w:t>行业特点、符合国情司情、公平合理的岗位薪酬体系。严格按照《莱芜钢铁集团泰东实业有限公司劳动合同》中约定的劳动报酬相关内容执行工资制度。</w:t>
      </w:r>
    </w:p>
    <w:p>
      <w:pPr>
        <w:pStyle w:val="6"/>
        <w:bidi w:val="0"/>
        <w:rPr>
          <w:rFonts w:hint="eastAsia"/>
          <w:lang w:val="en-US" w:eastAsia="zh-CN"/>
        </w:rPr>
      </w:pPr>
      <w:bookmarkStart w:id="25" w:name="_Toc16691"/>
      <w:r>
        <w:rPr>
          <w:rFonts w:hint="eastAsia"/>
          <w:lang w:val="en-US" w:eastAsia="zh-CN"/>
        </w:rPr>
        <w:t>4、安全健康</w:t>
      </w:r>
      <w:bookmarkEnd w:id="25"/>
    </w:p>
    <w:p>
      <w:pPr>
        <w:bidi w:val="0"/>
        <w:rPr>
          <w:rFonts w:hint="eastAsia"/>
          <w:lang w:val="en-US" w:eastAsia="zh-CN"/>
        </w:rPr>
      </w:pPr>
      <w:r>
        <w:rPr>
          <w:rFonts w:hint="eastAsia"/>
          <w:lang w:val="en-US" w:eastAsia="zh-CN"/>
        </w:rPr>
        <w:t>公司建立员工健康定期检查制度，每年安排职工关于高温、噪声、粉尘等岗</w:t>
      </w:r>
    </w:p>
    <w:p>
      <w:pPr>
        <w:bidi w:val="0"/>
        <w:ind w:left="0" w:leftChars="0" w:firstLine="0" w:firstLineChars="0"/>
        <w:rPr>
          <w:rFonts w:hint="eastAsia"/>
          <w:lang w:val="en-US" w:eastAsia="zh-CN"/>
        </w:rPr>
      </w:pPr>
      <w:r>
        <w:rPr>
          <w:rFonts w:hint="eastAsia"/>
          <w:lang w:val="en-US" w:eastAsia="zh-CN"/>
        </w:rPr>
        <w:t>位开展职业病危害体检一次，对女职工附加妇科检查的项目，2022年度健康档案覆盖率100%。邀请医院的专家到单位作健康讲座，对于体检中出现的问题进行解答，并注重职业病的防治，引导员工们养成健康的生活方式。</w:t>
      </w:r>
    </w:p>
    <w:p>
      <w:pPr>
        <w:pStyle w:val="6"/>
        <w:bidi w:val="0"/>
        <w:rPr>
          <w:rFonts w:hint="eastAsia"/>
          <w:lang w:val="en-US" w:eastAsia="zh-CN"/>
        </w:rPr>
      </w:pPr>
      <w:bookmarkStart w:id="26" w:name="_Toc19681"/>
      <w:r>
        <w:rPr>
          <w:rFonts w:hint="eastAsia"/>
          <w:lang w:val="en-US" w:eastAsia="zh-CN"/>
        </w:rPr>
        <w:t>5、公益慈善</w:t>
      </w:r>
      <w:bookmarkEnd w:id="26"/>
    </w:p>
    <w:p>
      <w:pPr>
        <w:bidi w:val="0"/>
        <w:rPr>
          <w:rFonts w:hint="eastAsia"/>
          <w:lang w:val="en-US" w:eastAsia="zh-CN"/>
        </w:rPr>
      </w:pPr>
      <w:r>
        <w:rPr>
          <w:rFonts w:hint="eastAsia"/>
          <w:lang w:val="en-US" w:eastAsia="zh-CN"/>
        </w:rPr>
        <w:t>公司始终把关心社会建设和积极参与公益事业作为履行社会责任的重要内容和具体体现，以企业自身的发展为社会公共事业做出贡献。2022年向困难家庭等弱势群体等进行捐救济，积极投身公益活动，为当地小学和中学提供奖学金和助学金，为教育事业尽自己的社会责任。未来进一步加大公益资金，承担更多的社会责任。</w:t>
      </w:r>
    </w:p>
    <w:p>
      <w:pPr>
        <w:pStyle w:val="6"/>
        <w:bidi w:val="0"/>
        <w:rPr>
          <w:rFonts w:hint="eastAsia"/>
          <w:lang w:val="en-US" w:eastAsia="zh-CN"/>
        </w:rPr>
      </w:pPr>
      <w:bookmarkStart w:id="27" w:name="_Toc12920"/>
      <w:r>
        <w:rPr>
          <w:rFonts w:hint="eastAsia"/>
          <w:lang w:val="en-US" w:eastAsia="zh-CN"/>
        </w:rPr>
        <w:t>6、供应商、客户和消费者权益保护</w:t>
      </w:r>
      <w:bookmarkEnd w:id="27"/>
    </w:p>
    <w:p>
      <w:pPr>
        <w:bidi w:val="0"/>
        <w:rPr>
          <w:rFonts w:hint="eastAsia"/>
          <w:lang w:val="en-US" w:eastAsia="zh-CN"/>
        </w:rPr>
      </w:pPr>
      <w:r>
        <w:rPr>
          <w:rFonts w:hint="eastAsia"/>
          <w:lang w:val="en-US" w:eastAsia="zh-CN"/>
        </w:rPr>
        <w:t>在全球经济一体化发展的今天，企业间的竞争已经转变为组织群之间的竞争，产品已不是由一家企业来单独完成的，而是有产业链上的各个组织成员共同协作完成的。公司深刻的认识到与产业链上的各个组织成员实行多赢是打造企业核心竞争力的关键。</w:t>
      </w:r>
    </w:p>
    <w:p>
      <w:pPr>
        <w:bidi w:val="0"/>
        <w:rPr>
          <w:rFonts w:hint="eastAsia"/>
          <w:lang w:val="en-US" w:eastAsia="zh-CN"/>
        </w:rPr>
      </w:pPr>
      <w:r>
        <w:rPr>
          <w:rFonts w:hint="eastAsia"/>
          <w:lang w:val="en-US" w:eastAsia="zh-CN"/>
        </w:rPr>
        <w:t>（1）供应商关系维护</w:t>
      </w:r>
    </w:p>
    <w:p>
      <w:pPr>
        <w:bidi w:val="0"/>
        <w:rPr>
          <w:rFonts w:hint="eastAsia"/>
          <w:lang w:val="en-US" w:eastAsia="zh-CN"/>
        </w:rPr>
      </w:pPr>
      <w:r>
        <w:rPr>
          <w:rFonts w:hint="eastAsia"/>
          <w:lang w:val="en-US" w:eastAsia="zh-CN"/>
        </w:rPr>
        <w:t>公司尊重并维护供应商的合法权益，不断完善采购流程，建立采购制度及内控程序，以制度保证供应商的基本权益，公司通过不定期对各供应商进行走访沟通并结合长期合作情况，建立了合格供应商名录，通过不断完善供应商管理手段，建设全面高效的供应商协作网络，定期召开供应商沟通会议，提高质量、控制成本、缩短生产周期、提升竞争力，实现双方互利共赢。</w:t>
      </w:r>
    </w:p>
    <w:p>
      <w:pPr>
        <w:bidi w:val="0"/>
        <w:rPr>
          <w:rFonts w:hint="eastAsia"/>
          <w:lang w:val="en-US" w:eastAsia="zh-CN"/>
        </w:rPr>
      </w:pPr>
      <w:r>
        <w:rPr>
          <w:rFonts w:hint="eastAsia"/>
          <w:lang w:val="en-US" w:eastAsia="zh-CN"/>
        </w:rPr>
        <w:t>（2）客户关系维护</w:t>
      </w:r>
    </w:p>
    <w:p>
      <w:pPr>
        <w:bidi w:val="0"/>
        <w:rPr>
          <w:rFonts w:hint="eastAsia"/>
          <w:lang w:val="en-US" w:eastAsia="zh-CN"/>
        </w:rPr>
      </w:pPr>
      <w:r>
        <w:rPr>
          <w:rFonts w:hint="eastAsia"/>
          <w:lang w:val="en-US" w:eastAsia="zh-CN"/>
        </w:rPr>
        <w:t>公司坚持以客户为中心，把维持良好的客户关系当作公司的宝贵资源，公司一直致力于为客户提供周到的服务，实现公司的优秀服务价值。公司严把质量关，按期交货以质量为本，用品质创造价值；以创新求发展，提供一流品质的产品。公司坚持实施与客户共同成长的营销战略，坚持双赢互惠的营销理念，坚持诚实守信的经营作风，以优秀的产品和服务为客户创造价值，建立并完善与客户的沟通机制，及时反馈客户诉求，不断改善客户的满意度，着力提高客户的忠诚度，维护客户利益。</w:t>
      </w:r>
    </w:p>
    <w:p>
      <w:pPr>
        <w:bidi w:val="0"/>
        <w:rPr>
          <w:rFonts w:hint="eastAsia"/>
          <w:lang w:val="en-US" w:eastAsia="zh-CN"/>
        </w:rPr>
      </w:pPr>
      <w:r>
        <w:rPr>
          <w:rFonts w:hint="eastAsia"/>
          <w:lang w:val="en-US" w:eastAsia="zh-CN"/>
        </w:rPr>
        <w:t>（3）消费者权益保护</w:t>
      </w:r>
    </w:p>
    <w:p>
      <w:pPr>
        <w:bidi w:val="0"/>
        <w:rPr>
          <w:rFonts w:hint="eastAsia"/>
          <w:lang w:val="en-US" w:eastAsia="zh-CN"/>
        </w:rPr>
      </w:pPr>
      <w:r>
        <w:rPr>
          <w:rFonts w:hint="eastAsia"/>
          <w:lang w:val="en-US" w:eastAsia="zh-CN"/>
        </w:rPr>
        <w:t>企业的社会责任，不仅是保护消费者权益的问题，同时也是提升企业竞争力的战略举措。随着社会的发展，企业竞争的法宝不再是资金、技术和人才，是消费者对企业社会品牌的认知程度、是企业对消费者的诚信。对消费者的社会责任是增强企业抗风险能力的金钥匙。</w:t>
      </w:r>
    </w:p>
    <w:p>
      <w:pPr>
        <w:pStyle w:val="4"/>
        <w:bidi w:val="0"/>
      </w:pPr>
      <w:bookmarkStart w:id="28" w:name="_Toc11543"/>
      <w:bookmarkStart w:id="29" w:name="_Toc9216"/>
      <w:r>
        <w:rPr>
          <w:rFonts w:hint="eastAsia"/>
          <w:lang w:val="en-US" w:eastAsia="zh-CN"/>
        </w:rPr>
        <w:t>三、</w:t>
      </w:r>
      <w:r>
        <w:t>发展愿景</w:t>
      </w:r>
      <w:bookmarkEnd w:id="28"/>
      <w:bookmarkEnd w:id="29"/>
    </w:p>
    <w:p>
      <w:pPr>
        <w:bidi w:val="0"/>
      </w:pPr>
      <w:r>
        <w:rPr>
          <w:rFonts w:hint="eastAsia"/>
          <w:lang w:val="en-US" w:eastAsia="zh-CN"/>
        </w:rPr>
        <w:t>泰东</w:t>
      </w:r>
      <w:r>
        <w:t>公司以高端、高附加值产品为主攻方向，实现新旧动能转换及产品和技术的转型升级。开展绿色工厂、绿色设计示范企业创建工作，制定绿色供应链创建工作规划，实现绿色制造、智能制造，支撑公司可持续发展，持续为社会和经济发展做出贡献。</w:t>
      </w:r>
    </w:p>
    <w:p>
      <w:pPr>
        <w:pStyle w:val="2"/>
        <w:rPr>
          <w:rFonts w:hint="default"/>
          <w:lang w:val="en-US" w:eastAsia="zh-CN"/>
        </w:rPr>
      </w:pPr>
    </w:p>
    <w:p>
      <w:pPr>
        <w:pStyle w:val="2"/>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ZGVhN2M2YmMyMmNjOTNiZmY2N2UyNjBjODZhMDIifQ=="/>
  </w:docVars>
  <w:rsids>
    <w:rsidRoot w:val="00000000"/>
    <w:rsid w:val="0367095E"/>
    <w:rsid w:val="0B552AA6"/>
    <w:rsid w:val="0BD81D43"/>
    <w:rsid w:val="0C637445"/>
    <w:rsid w:val="0CAC3F74"/>
    <w:rsid w:val="0D5B2F4D"/>
    <w:rsid w:val="12850115"/>
    <w:rsid w:val="1BF9122C"/>
    <w:rsid w:val="1E4E1501"/>
    <w:rsid w:val="22364F87"/>
    <w:rsid w:val="241C01AD"/>
    <w:rsid w:val="28E55011"/>
    <w:rsid w:val="29764B01"/>
    <w:rsid w:val="2C0E487F"/>
    <w:rsid w:val="2C73394D"/>
    <w:rsid w:val="2E60513A"/>
    <w:rsid w:val="31B84A7E"/>
    <w:rsid w:val="32532AA5"/>
    <w:rsid w:val="337A0A4C"/>
    <w:rsid w:val="34AF2977"/>
    <w:rsid w:val="36F95C3D"/>
    <w:rsid w:val="39693A3D"/>
    <w:rsid w:val="3C0161AE"/>
    <w:rsid w:val="3CD90391"/>
    <w:rsid w:val="3D12591E"/>
    <w:rsid w:val="3F10609C"/>
    <w:rsid w:val="421C27EF"/>
    <w:rsid w:val="462F3918"/>
    <w:rsid w:val="4C373527"/>
    <w:rsid w:val="4D0155E9"/>
    <w:rsid w:val="4E8C7B5A"/>
    <w:rsid w:val="520E3420"/>
    <w:rsid w:val="546B2FE2"/>
    <w:rsid w:val="59277948"/>
    <w:rsid w:val="59BE5287"/>
    <w:rsid w:val="59FA54CF"/>
    <w:rsid w:val="5AA4622B"/>
    <w:rsid w:val="5C232C28"/>
    <w:rsid w:val="5D2641A2"/>
    <w:rsid w:val="5E08087F"/>
    <w:rsid w:val="5F991D5E"/>
    <w:rsid w:val="63C76D84"/>
    <w:rsid w:val="6576370A"/>
    <w:rsid w:val="67DE683B"/>
    <w:rsid w:val="68AC37F1"/>
    <w:rsid w:val="69261245"/>
    <w:rsid w:val="6AFE54E3"/>
    <w:rsid w:val="6D286848"/>
    <w:rsid w:val="6E961E95"/>
    <w:rsid w:val="6ECE131C"/>
    <w:rsid w:val="70725ED5"/>
    <w:rsid w:val="71B2729A"/>
    <w:rsid w:val="79420C91"/>
    <w:rsid w:val="7CAA09FC"/>
    <w:rsid w:val="7EBB7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Times New Roman" w:hAnsi="Times New Roman" w:eastAsia="仿宋_GB2312" w:cstheme="minorBidi"/>
      <w:kern w:val="2"/>
      <w:sz w:val="24"/>
      <w:szCs w:val="24"/>
      <w:lang w:val="en-US" w:eastAsia="zh-CN" w:bidi="ar-SA"/>
    </w:rPr>
  </w:style>
  <w:style w:type="paragraph" w:styleId="4">
    <w:name w:val="heading 1"/>
    <w:basedOn w:val="1"/>
    <w:next w:val="1"/>
    <w:qFormat/>
    <w:uiPriority w:val="0"/>
    <w:pPr>
      <w:keepNext/>
      <w:keepLines/>
      <w:spacing w:before="50" w:beforeLines="50" w:beforeAutospacing="0" w:after="50" w:afterLines="50" w:afterAutospacing="0" w:line="360" w:lineRule="auto"/>
      <w:ind w:firstLine="0" w:firstLineChars="0"/>
      <w:outlineLvl w:val="0"/>
    </w:pPr>
    <w:rPr>
      <w:b/>
      <w:kern w:val="44"/>
      <w:sz w:val="30"/>
    </w:rPr>
  </w:style>
  <w:style w:type="paragraph" w:styleId="5">
    <w:name w:val="heading 2"/>
    <w:basedOn w:val="1"/>
    <w:next w:val="1"/>
    <w:unhideWhenUsed/>
    <w:qFormat/>
    <w:uiPriority w:val="0"/>
    <w:pPr>
      <w:keepNext/>
      <w:keepLines/>
      <w:spacing w:beforeLines="0" w:beforeAutospacing="0" w:afterLines="0" w:afterAutospacing="0" w:line="360" w:lineRule="auto"/>
      <w:ind w:firstLine="0" w:firstLineChars="0"/>
      <w:outlineLvl w:val="1"/>
    </w:pPr>
    <w:rPr>
      <w:b/>
      <w:sz w:val="28"/>
    </w:rPr>
  </w:style>
  <w:style w:type="paragraph" w:styleId="6">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4069</Words>
  <Characters>4208</Characters>
  <Lines>0</Lines>
  <Paragraphs>0</Paragraphs>
  <TotalTime>64</TotalTime>
  <ScaleCrop>false</ScaleCrop>
  <LinksUpToDate>false</LinksUpToDate>
  <CharactersWithSpaces>4228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2022-07-28T02:19:00Z</dcterms:created>
  <dc:creator>zhaox</dc:creator>
  <cp:lastModifiedBy>崔言进</cp:lastModifiedBy>
  <dcterms:modified xsi:type="dcterms:W3CDTF">2023-06-09T06:07:18Z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082911EEB4B2400E89A2C7F3222696B4</vt:lpwstr>
  </property>
</Properties>
</file>